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010D" w14:textId="77777777" w:rsidR="00AC21B8" w:rsidRPr="00AC21B8" w:rsidRDefault="00AC21B8" w:rsidP="00AC21B8">
      <w:pPr>
        <w:outlineLvl w:val="0"/>
        <w:rPr>
          <w:rFonts w:ascii="Times New Roman" w:eastAsia="Times New Roman" w:hAnsi="Times New Roman"/>
          <w:b/>
          <w:bCs/>
          <w:kern w:val="36"/>
          <w:sz w:val="48"/>
          <w:szCs w:val="48"/>
          <w:lang w:eastAsia="en-US"/>
        </w:rPr>
      </w:pPr>
      <w:r w:rsidRPr="00AC21B8">
        <w:rPr>
          <w:rFonts w:ascii="Calibri" w:eastAsia="Times New Roman" w:hAnsi="Calibri" w:cs="Calibri"/>
          <w:b/>
          <w:bCs/>
          <w:smallCaps/>
          <w:color w:val="6786B9"/>
          <w:kern w:val="36"/>
          <w:sz w:val="40"/>
          <w:szCs w:val="40"/>
          <w:lang w:eastAsia="en-US"/>
        </w:rPr>
        <w:t>Scenario-based Assessment</w:t>
      </w:r>
    </w:p>
    <w:p w14:paraId="0D9F1170" w14:textId="77777777" w:rsidR="00AC21B8" w:rsidRPr="00AC21B8" w:rsidRDefault="00AC21B8" w:rsidP="00AC21B8">
      <w:pPr>
        <w:outlineLvl w:val="1"/>
        <w:rPr>
          <w:rFonts w:ascii="Times New Roman" w:eastAsia="Times New Roman" w:hAnsi="Times New Roman"/>
          <w:b/>
          <w:bCs/>
          <w:sz w:val="36"/>
          <w:szCs w:val="36"/>
          <w:lang w:eastAsia="en-US"/>
        </w:rPr>
      </w:pPr>
      <w:r w:rsidRPr="00AC21B8">
        <w:rPr>
          <w:rFonts w:ascii="Calibri" w:eastAsia="Times New Roman" w:hAnsi="Calibri" w:cs="Calibri"/>
          <w:b/>
          <w:bCs/>
          <w:smallCaps/>
          <w:color w:val="6786B9"/>
          <w:sz w:val="32"/>
          <w:szCs w:val="32"/>
          <w:lang w:eastAsia="en-US"/>
        </w:rPr>
        <w:t>Definition</w:t>
      </w:r>
    </w:p>
    <w:p w14:paraId="2A6CB4A1" w14:textId="77777777" w:rsidR="00AC21B8" w:rsidRDefault="00AC21B8" w:rsidP="00AC21B8">
      <w:pPr>
        <w:spacing w:before="120" w:after="60"/>
        <w:rPr>
          <w:rFonts w:ascii="Calibri" w:eastAsia="Times New Roman" w:hAnsi="Calibri" w:cs="Calibri"/>
          <w:b/>
          <w:bCs/>
          <w:color w:val="890415"/>
          <w:sz w:val="22"/>
          <w:szCs w:val="22"/>
          <w:shd w:val="clear" w:color="auto" w:fill="FFFFFF"/>
          <w:lang w:eastAsia="en-US"/>
        </w:rPr>
      </w:pPr>
      <w:r w:rsidRPr="00AC21B8">
        <w:rPr>
          <w:rFonts w:ascii="Calibri" w:eastAsia="Times New Roman" w:hAnsi="Calibri" w:cs="Calibri"/>
          <w:b/>
          <w:bCs/>
          <w:color w:val="890415"/>
          <w:sz w:val="22"/>
          <w:szCs w:val="22"/>
          <w:shd w:val="clear" w:color="auto" w:fill="FFFFFF"/>
          <w:lang w:eastAsia="en-US"/>
        </w:rPr>
        <w:t xml:space="preserve">Scenario-based assessment (SBA) is a method that uses detailed narratives (in written, visual, or video formats) to place individuals in simulated situations </w:t>
      </w:r>
      <w:proofErr w:type="gramStart"/>
      <w:r w:rsidRPr="00AC21B8">
        <w:rPr>
          <w:rFonts w:ascii="Calibri" w:eastAsia="Times New Roman" w:hAnsi="Calibri" w:cs="Calibri"/>
          <w:b/>
          <w:bCs/>
          <w:color w:val="890415"/>
          <w:sz w:val="22"/>
          <w:szCs w:val="22"/>
          <w:shd w:val="clear" w:color="auto" w:fill="FFFFFF"/>
          <w:lang w:eastAsia="en-US"/>
        </w:rPr>
        <w:t>so as to</w:t>
      </w:r>
      <w:proofErr w:type="gramEnd"/>
      <w:r w:rsidRPr="00AC21B8">
        <w:rPr>
          <w:rFonts w:ascii="Calibri" w:eastAsia="Times New Roman" w:hAnsi="Calibri" w:cs="Calibri"/>
          <w:b/>
          <w:bCs/>
          <w:color w:val="890415"/>
          <w:sz w:val="22"/>
          <w:szCs w:val="22"/>
          <w:shd w:val="clear" w:color="auto" w:fill="FFFFFF"/>
          <w:lang w:eastAsia="en-US"/>
        </w:rPr>
        <w:t xml:space="preserve"> provoke reflection and elicit responses that provide insights into participants' viewpoints, offering a deeper understanding of their behaviors in specific contexts.</w:t>
      </w:r>
    </w:p>
    <w:p w14:paraId="05EC72EF" w14:textId="77777777" w:rsidR="00AC21B8" w:rsidRPr="00AC21B8" w:rsidRDefault="00AC21B8" w:rsidP="00AC21B8">
      <w:pPr>
        <w:spacing w:before="120" w:after="60"/>
        <w:rPr>
          <w:rFonts w:ascii="Times New Roman" w:eastAsia="Times New Roman" w:hAnsi="Times New Roman"/>
          <w:sz w:val="24"/>
          <w:szCs w:val="24"/>
          <w:lang w:eastAsia="en-US"/>
        </w:rPr>
      </w:pPr>
    </w:p>
    <w:p w14:paraId="275A59A5" w14:textId="77777777" w:rsidR="00AC21B8" w:rsidRPr="00AC21B8" w:rsidRDefault="00AC21B8" w:rsidP="00AC21B8">
      <w:pPr>
        <w:outlineLvl w:val="1"/>
        <w:rPr>
          <w:rFonts w:ascii="Times New Roman" w:eastAsia="Times New Roman" w:hAnsi="Times New Roman"/>
          <w:b/>
          <w:bCs/>
          <w:sz w:val="36"/>
          <w:szCs w:val="36"/>
          <w:lang w:eastAsia="en-US"/>
        </w:rPr>
      </w:pPr>
      <w:r w:rsidRPr="00AC21B8">
        <w:rPr>
          <w:rFonts w:ascii="Calibri" w:eastAsia="Times New Roman" w:hAnsi="Calibri" w:cs="Calibri"/>
          <w:b/>
          <w:bCs/>
          <w:smallCaps/>
          <w:color w:val="6786B9"/>
          <w:sz w:val="32"/>
          <w:szCs w:val="32"/>
          <w:shd w:val="clear" w:color="auto" w:fill="FFFFFF"/>
          <w:lang w:eastAsia="en-US"/>
        </w:rPr>
        <w:t>In Computing</w:t>
      </w:r>
    </w:p>
    <w:p w14:paraId="502DE645" w14:textId="77777777" w:rsidR="00AC21B8" w:rsidRPr="00AC21B8" w:rsidRDefault="00AC21B8" w:rsidP="00AC21B8">
      <w:pPr>
        <w:rPr>
          <w:rFonts w:ascii="Times New Roman" w:eastAsia="Times New Roman" w:hAnsi="Times New Roman"/>
          <w:sz w:val="24"/>
          <w:szCs w:val="24"/>
          <w:lang w:eastAsia="en-US"/>
        </w:rPr>
      </w:pPr>
      <w:r w:rsidRPr="00AC21B8">
        <w:rPr>
          <w:rFonts w:ascii="Calibri" w:eastAsia="Times New Roman" w:hAnsi="Calibri" w:cs="Calibri"/>
          <w:color w:val="000000"/>
          <w:sz w:val="22"/>
          <w:szCs w:val="22"/>
          <w:lang w:eastAsia="en-US"/>
        </w:rPr>
        <w:t>SBA offers a dynamic method for positioning CS students in real-world contexts that prompt reflection on essential professional dispositions. These narratives encourage students to share honest insights into their personal beliefs and actions and highlight the role of dispositions in professional interactions. Aimed at freshman computing students, this approach to assessment not only deepens their understanding of critical traits but also fosters their development through both pedagogical and evaluative means. Instructors can utilize scenarios in classroom discussions to explore students' perspectives, while a curated set of scenarios can assess students' comprehension and application of dispositions.</w:t>
      </w:r>
    </w:p>
    <w:p w14:paraId="0BE7C6AA" w14:textId="77777777" w:rsidR="00AC21B8" w:rsidRPr="00AC21B8" w:rsidRDefault="00AC21B8" w:rsidP="00AC21B8">
      <w:pPr>
        <w:outlineLvl w:val="1"/>
        <w:rPr>
          <w:rFonts w:ascii="Times New Roman" w:eastAsia="Times New Roman" w:hAnsi="Times New Roman"/>
          <w:b/>
          <w:bCs/>
          <w:sz w:val="36"/>
          <w:szCs w:val="36"/>
          <w:lang w:eastAsia="en-US"/>
        </w:rPr>
      </w:pPr>
      <w:r w:rsidRPr="00AC21B8">
        <w:rPr>
          <w:rFonts w:ascii="Calibri" w:eastAsia="Times New Roman" w:hAnsi="Calibri" w:cs="Calibri"/>
          <w:b/>
          <w:bCs/>
          <w:smallCaps/>
          <w:color w:val="6786B9"/>
          <w:sz w:val="32"/>
          <w:szCs w:val="32"/>
          <w:lang w:eastAsia="en-US"/>
        </w:rPr>
        <w:t>SBA Approach</w:t>
      </w:r>
    </w:p>
    <w:p w14:paraId="55BD1E9B" w14:textId="77777777" w:rsidR="00AC21B8" w:rsidRPr="00AC21B8" w:rsidRDefault="00AC21B8" w:rsidP="00AC21B8">
      <w:pPr>
        <w:rPr>
          <w:rFonts w:ascii="Times New Roman" w:eastAsia="Times New Roman" w:hAnsi="Times New Roman"/>
          <w:sz w:val="24"/>
          <w:szCs w:val="24"/>
          <w:lang w:eastAsia="en-US"/>
        </w:rPr>
      </w:pPr>
      <w:r w:rsidRPr="00AC21B8">
        <w:rPr>
          <w:rFonts w:ascii="Calibri" w:eastAsia="Times New Roman" w:hAnsi="Calibri" w:cs="Calibri"/>
          <w:color w:val="0D0D0D"/>
          <w:sz w:val="22"/>
          <w:szCs w:val="22"/>
          <w:shd w:val="clear" w:color="auto" w:fill="FFFFFF"/>
          <w:lang w:eastAsia="en-US"/>
        </w:rPr>
        <w:t xml:space="preserve">An instructor may employ any set of scenarios for each assessment, the number of which may vary based on the class size and the objectives and duration of the assessment. The focus can be on one </w:t>
      </w:r>
      <w:proofErr w:type="gramStart"/>
      <w:r w:rsidRPr="00AC21B8">
        <w:rPr>
          <w:rFonts w:ascii="Calibri" w:eastAsia="Times New Roman" w:hAnsi="Calibri" w:cs="Calibri"/>
          <w:color w:val="0D0D0D"/>
          <w:sz w:val="22"/>
          <w:szCs w:val="22"/>
          <w:shd w:val="clear" w:color="auto" w:fill="FFFFFF"/>
          <w:lang w:eastAsia="en-US"/>
        </w:rPr>
        <w:t>particular disposition</w:t>
      </w:r>
      <w:proofErr w:type="gramEnd"/>
      <w:r w:rsidRPr="00AC21B8">
        <w:rPr>
          <w:rFonts w:ascii="Calibri" w:eastAsia="Times New Roman" w:hAnsi="Calibri" w:cs="Calibri"/>
          <w:color w:val="0D0D0D"/>
          <w:sz w:val="22"/>
          <w:szCs w:val="22"/>
          <w:shd w:val="clear" w:color="auto" w:fill="FFFFFF"/>
          <w:lang w:eastAsia="en-US"/>
        </w:rPr>
        <w:t xml:space="preserve"> or a mixture of distinct dispositions in each testing set. Each narrative is designed to be concise, minimizing the reading time for test-takers and reducing the amount of class time required for testing. For testing purposes, each scenario is crafted to emphasize a single disposition. However, in real-life scenarios, distinctions among dispositions are not easily delineated. Situations are complex, and individuals may draw upon multiple dispositions in any given circumstance.</w:t>
      </w:r>
    </w:p>
    <w:p w14:paraId="534BF8A6" w14:textId="77777777" w:rsidR="00AC21B8" w:rsidRPr="00AC21B8" w:rsidRDefault="00AC21B8" w:rsidP="00AC21B8">
      <w:pPr>
        <w:rPr>
          <w:rFonts w:ascii="Times New Roman" w:eastAsia="Times New Roman" w:hAnsi="Times New Roman"/>
          <w:sz w:val="24"/>
          <w:szCs w:val="24"/>
          <w:lang w:eastAsia="en-US"/>
        </w:rPr>
      </w:pPr>
      <w:r w:rsidRPr="00AC21B8">
        <w:rPr>
          <w:rFonts w:ascii="Calibri" w:eastAsia="Times New Roman" w:hAnsi="Calibri" w:cs="Calibri"/>
          <w:color w:val="0D0D0D"/>
          <w:sz w:val="22"/>
          <w:szCs w:val="22"/>
          <w:shd w:val="clear" w:color="auto" w:fill="FFFFFF"/>
          <w:lang w:eastAsia="en-US"/>
        </w:rPr>
        <w:t>The implementation is notably straightforward, utilizing a multiple-choice framework to facilitate ease of administration and grading. Students are required to read each scenario and select the option that most accurately reflects the disposition demonstrated in the scenario. A follow-up question can be added asking about the reason behind their choice, so the educator can have valuable insights into the students' comprehension, allowing for tailored adjustments to their teaching approach.</w:t>
      </w:r>
    </w:p>
    <w:p w14:paraId="248ED811" w14:textId="77777777" w:rsidR="00AC21B8" w:rsidRPr="00AC21B8" w:rsidRDefault="00AC21B8" w:rsidP="00AC21B8">
      <w:pPr>
        <w:spacing w:before="120" w:after="60"/>
        <w:outlineLvl w:val="2"/>
        <w:rPr>
          <w:rFonts w:ascii="Times New Roman" w:eastAsia="Times New Roman" w:hAnsi="Times New Roman"/>
          <w:b/>
          <w:bCs/>
          <w:sz w:val="27"/>
          <w:szCs w:val="27"/>
          <w:lang w:eastAsia="en-US"/>
        </w:rPr>
      </w:pPr>
      <w:r w:rsidRPr="00AC21B8">
        <w:rPr>
          <w:rFonts w:ascii="Calibri" w:eastAsia="Times New Roman" w:hAnsi="Calibri" w:cs="Calibri"/>
          <w:b/>
          <w:bCs/>
          <w:color w:val="6786B9"/>
          <w:sz w:val="22"/>
          <w:szCs w:val="22"/>
          <w:shd w:val="clear" w:color="auto" w:fill="FFFFFF"/>
          <w:lang w:eastAsia="en-US"/>
        </w:rPr>
        <w:t>Considerations to prepare a test set:</w:t>
      </w:r>
    </w:p>
    <w:p w14:paraId="1703BCE6" w14:textId="77777777" w:rsidR="00AC21B8" w:rsidRPr="00AC21B8" w:rsidRDefault="00AC21B8" w:rsidP="00AC21B8">
      <w:pPr>
        <w:numPr>
          <w:ilvl w:val="0"/>
          <w:numId w:val="13"/>
        </w:numPr>
        <w:spacing w:after="0"/>
        <w:textAlignment w:val="baseline"/>
        <w:rPr>
          <w:rFonts w:ascii="Calibri" w:eastAsia="Times New Roman" w:hAnsi="Calibri" w:cs="Calibri"/>
          <w:color w:val="0D0D0D"/>
          <w:sz w:val="22"/>
          <w:szCs w:val="22"/>
          <w:lang w:eastAsia="en-US"/>
        </w:rPr>
      </w:pPr>
      <w:r w:rsidRPr="00AC21B8">
        <w:rPr>
          <w:rFonts w:ascii="Calibri" w:eastAsia="Times New Roman" w:hAnsi="Calibri" w:cs="Calibri"/>
          <w:i/>
          <w:iCs/>
          <w:color w:val="404040"/>
          <w:sz w:val="22"/>
          <w:szCs w:val="22"/>
          <w:lang w:eastAsia="en-US"/>
        </w:rPr>
        <w:t>Number of questions</w:t>
      </w:r>
      <w:r w:rsidRPr="00AC21B8">
        <w:rPr>
          <w:rFonts w:ascii="Calibri" w:eastAsia="Times New Roman" w:hAnsi="Calibri" w:cs="Calibri"/>
          <w:color w:val="0D0D0D"/>
          <w:sz w:val="22"/>
          <w:szCs w:val="22"/>
          <w:shd w:val="clear" w:color="auto" w:fill="FFFFFF"/>
          <w:lang w:eastAsia="en-US"/>
        </w:rPr>
        <w:t xml:space="preserve"> (how many students? How much class time </w:t>
      </w:r>
      <w:proofErr w:type="gramStart"/>
      <w:r w:rsidRPr="00AC21B8">
        <w:rPr>
          <w:rFonts w:ascii="Calibri" w:eastAsia="Times New Roman" w:hAnsi="Calibri" w:cs="Calibri"/>
          <w:color w:val="0D0D0D"/>
          <w:sz w:val="22"/>
          <w:szCs w:val="22"/>
          <w:shd w:val="clear" w:color="auto" w:fill="FFFFFF"/>
          <w:lang w:eastAsia="en-US"/>
        </w:rPr>
        <w:t>for</w:t>
      </w:r>
      <w:proofErr w:type="gramEnd"/>
      <w:r w:rsidRPr="00AC21B8">
        <w:rPr>
          <w:rFonts w:ascii="Calibri" w:eastAsia="Times New Roman" w:hAnsi="Calibri" w:cs="Calibri"/>
          <w:color w:val="0D0D0D"/>
          <w:sz w:val="22"/>
          <w:szCs w:val="22"/>
          <w:shd w:val="clear" w:color="auto" w:fill="FFFFFF"/>
          <w:lang w:eastAsia="en-US"/>
        </w:rPr>
        <w:t xml:space="preserve"> the test?)</w:t>
      </w:r>
    </w:p>
    <w:p w14:paraId="05728A4A" w14:textId="77777777" w:rsidR="00AC21B8" w:rsidRPr="00AC21B8" w:rsidRDefault="00AC21B8" w:rsidP="00AC21B8">
      <w:pPr>
        <w:numPr>
          <w:ilvl w:val="0"/>
          <w:numId w:val="13"/>
        </w:numPr>
        <w:spacing w:after="0"/>
        <w:textAlignment w:val="baseline"/>
        <w:rPr>
          <w:rFonts w:ascii="Calibri" w:eastAsia="Times New Roman" w:hAnsi="Calibri" w:cs="Calibri"/>
          <w:color w:val="0D0D0D"/>
          <w:sz w:val="22"/>
          <w:szCs w:val="22"/>
          <w:lang w:eastAsia="en-US"/>
        </w:rPr>
      </w:pPr>
      <w:r w:rsidRPr="00AC21B8">
        <w:rPr>
          <w:rFonts w:ascii="Calibri" w:eastAsia="Times New Roman" w:hAnsi="Calibri" w:cs="Calibri"/>
          <w:i/>
          <w:iCs/>
          <w:color w:val="404040"/>
          <w:sz w:val="22"/>
          <w:szCs w:val="22"/>
          <w:lang w:eastAsia="en-US"/>
        </w:rPr>
        <w:t>Type of disposition</w:t>
      </w:r>
      <w:r w:rsidRPr="00AC21B8">
        <w:rPr>
          <w:rFonts w:ascii="Calibri" w:eastAsia="Times New Roman" w:hAnsi="Calibri" w:cs="Calibri"/>
          <w:color w:val="0D0D0D"/>
          <w:sz w:val="22"/>
          <w:szCs w:val="22"/>
          <w:shd w:val="clear" w:color="auto" w:fill="FFFFFF"/>
          <w:lang w:eastAsia="en-US"/>
        </w:rPr>
        <w:t xml:space="preserve"> (Focus on a particular disposition or a mixture of some?)</w:t>
      </w:r>
    </w:p>
    <w:p w14:paraId="162FFE58" w14:textId="77777777" w:rsidR="00AC21B8" w:rsidRPr="00AC21B8" w:rsidRDefault="00AC21B8" w:rsidP="00AC21B8">
      <w:pPr>
        <w:numPr>
          <w:ilvl w:val="0"/>
          <w:numId w:val="13"/>
        </w:numPr>
        <w:spacing w:after="0"/>
        <w:textAlignment w:val="baseline"/>
        <w:rPr>
          <w:rFonts w:ascii="Calibri" w:eastAsia="Times New Roman" w:hAnsi="Calibri" w:cs="Calibri"/>
          <w:color w:val="0D0D0D"/>
          <w:sz w:val="22"/>
          <w:szCs w:val="22"/>
          <w:lang w:eastAsia="en-US"/>
        </w:rPr>
      </w:pPr>
      <w:r w:rsidRPr="00AC21B8">
        <w:rPr>
          <w:rFonts w:ascii="Calibri" w:eastAsia="Times New Roman" w:hAnsi="Calibri" w:cs="Calibri"/>
          <w:i/>
          <w:iCs/>
          <w:color w:val="404040"/>
          <w:sz w:val="22"/>
          <w:szCs w:val="22"/>
          <w:lang w:eastAsia="en-US"/>
        </w:rPr>
        <w:t xml:space="preserve">Method of administration </w:t>
      </w:r>
      <w:r w:rsidRPr="00AC21B8">
        <w:rPr>
          <w:rFonts w:ascii="Calibri" w:eastAsia="Times New Roman" w:hAnsi="Calibri" w:cs="Calibri"/>
          <w:color w:val="0D0D0D"/>
          <w:sz w:val="22"/>
          <w:szCs w:val="22"/>
          <w:shd w:val="clear" w:color="auto" w:fill="FFFFFF"/>
          <w:lang w:eastAsia="en-US"/>
        </w:rPr>
        <w:t xml:space="preserve">(Testing platform? On paper, Google Forms, H5P, </w:t>
      </w:r>
      <w:proofErr w:type="spellStart"/>
      <w:r w:rsidRPr="00AC21B8">
        <w:rPr>
          <w:rFonts w:ascii="Calibri" w:eastAsia="Times New Roman" w:hAnsi="Calibri" w:cs="Calibri"/>
          <w:color w:val="0D0D0D"/>
          <w:sz w:val="22"/>
          <w:szCs w:val="22"/>
          <w:shd w:val="clear" w:color="auto" w:fill="FFFFFF"/>
          <w:lang w:eastAsia="en-US"/>
        </w:rPr>
        <w:t>etc</w:t>
      </w:r>
      <w:proofErr w:type="spellEnd"/>
      <w:r w:rsidRPr="00AC21B8">
        <w:rPr>
          <w:rFonts w:ascii="Calibri" w:eastAsia="Times New Roman" w:hAnsi="Calibri" w:cs="Calibri"/>
          <w:color w:val="0D0D0D"/>
          <w:sz w:val="22"/>
          <w:szCs w:val="22"/>
          <w:shd w:val="clear" w:color="auto" w:fill="FFFFFF"/>
          <w:lang w:eastAsia="en-US"/>
        </w:rPr>
        <w:t>?)</w:t>
      </w:r>
    </w:p>
    <w:p w14:paraId="4A3D380E" w14:textId="77777777" w:rsidR="00AC21B8" w:rsidRPr="00AC21B8" w:rsidRDefault="00AC21B8" w:rsidP="00AC21B8">
      <w:pPr>
        <w:numPr>
          <w:ilvl w:val="0"/>
          <w:numId w:val="13"/>
        </w:numPr>
        <w:spacing w:after="160"/>
        <w:textAlignment w:val="baseline"/>
        <w:rPr>
          <w:rFonts w:ascii="Calibri" w:eastAsia="Times New Roman" w:hAnsi="Calibri" w:cs="Calibri"/>
          <w:color w:val="0D0D0D"/>
          <w:sz w:val="22"/>
          <w:szCs w:val="22"/>
          <w:lang w:eastAsia="en-US"/>
        </w:rPr>
      </w:pPr>
      <w:r w:rsidRPr="00AC21B8">
        <w:rPr>
          <w:rFonts w:ascii="Calibri" w:eastAsia="Times New Roman" w:hAnsi="Calibri" w:cs="Calibri"/>
          <w:i/>
          <w:iCs/>
          <w:color w:val="404040"/>
          <w:sz w:val="22"/>
          <w:szCs w:val="22"/>
          <w:lang w:eastAsia="en-US"/>
        </w:rPr>
        <w:t xml:space="preserve">The context of the narratives </w:t>
      </w:r>
      <w:r w:rsidRPr="00AC21B8">
        <w:rPr>
          <w:rFonts w:ascii="Calibri" w:eastAsia="Times New Roman" w:hAnsi="Calibri" w:cs="Calibri"/>
          <w:color w:val="0D0D0D"/>
          <w:sz w:val="22"/>
          <w:szCs w:val="22"/>
          <w:shd w:val="clear" w:color="auto" w:fill="FFFFFF"/>
          <w:lang w:eastAsia="en-US"/>
        </w:rPr>
        <w:t>(Does it reflect class discussions? Does the narrative need modifications?)</w:t>
      </w:r>
    </w:p>
    <w:p w14:paraId="299C52DE" w14:textId="77777777" w:rsidR="00AC21B8" w:rsidRPr="00AC21B8" w:rsidRDefault="00AC21B8" w:rsidP="00AC21B8">
      <w:pPr>
        <w:outlineLvl w:val="1"/>
        <w:rPr>
          <w:rFonts w:ascii="Times New Roman" w:eastAsia="Times New Roman" w:hAnsi="Times New Roman"/>
          <w:b/>
          <w:bCs/>
          <w:sz w:val="36"/>
          <w:szCs w:val="36"/>
          <w:lang w:eastAsia="en-US"/>
        </w:rPr>
      </w:pPr>
      <w:r w:rsidRPr="00AC21B8">
        <w:rPr>
          <w:rFonts w:ascii="Calibri" w:eastAsia="Times New Roman" w:hAnsi="Calibri" w:cs="Calibri"/>
          <w:b/>
          <w:bCs/>
          <w:smallCaps/>
          <w:color w:val="6786B9"/>
          <w:sz w:val="32"/>
          <w:szCs w:val="32"/>
          <w:shd w:val="clear" w:color="auto" w:fill="FFFFFF"/>
          <w:lang w:eastAsia="en-US"/>
        </w:rPr>
        <w:t>Theoretical Perspective</w:t>
      </w:r>
    </w:p>
    <w:p w14:paraId="6D23EA0F" w14:textId="77777777" w:rsidR="00AC21B8" w:rsidRPr="00AC21B8" w:rsidRDefault="00AC21B8" w:rsidP="00AC21B8">
      <w:pPr>
        <w:spacing w:after="160"/>
        <w:rPr>
          <w:rFonts w:ascii="Times New Roman" w:eastAsia="Times New Roman" w:hAnsi="Times New Roman"/>
          <w:sz w:val="24"/>
          <w:szCs w:val="24"/>
          <w:lang w:eastAsia="en-US"/>
        </w:rPr>
      </w:pPr>
      <w:r w:rsidRPr="00AC21B8">
        <w:rPr>
          <w:rFonts w:ascii="Calibri" w:eastAsia="Times New Roman" w:hAnsi="Calibri" w:cs="Calibri"/>
          <w:color w:val="0D0D0D"/>
          <w:sz w:val="22"/>
          <w:szCs w:val="22"/>
          <w:shd w:val="clear" w:color="auto" w:fill="FFFFFF"/>
          <w:lang w:eastAsia="en-US"/>
        </w:rPr>
        <w:t>The importance of dispositions in the workplace is well acknowledged, yet it is only recently that curricular frameworks for computing courses have started to view professional dispositions as essential components of competencies, alongside knowledge and skills (Tagare et al., 2023). There is a limited amount of research on the application of scenarios in undergraduate computing education or on the most effective methods to cultivate these dispositions in students (</w:t>
      </w:r>
      <w:r w:rsidRPr="00AC21B8">
        <w:rPr>
          <w:rFonts w:ascii="Calibri" w:eastAsia="Times New Roman" w:hAnsi="Calibri" w:cs="Calibri"/>
          <w:color w:val="0D0D0D"/>
          <w:sz w:val="21"/>
          <w:szCs w:val="21"/>
          <w:shd w:val="clear" w:color="auto" w:fill="FFFFFF"/>
          <w:lang w:eastAsia="en-US"/>
        </w:rPr>
        <w:t>McCauley et al., 2023)</w:t>
      </w:r>
      <w:r w:rsidRPr="00AC21B8">
        <w:rPr>
          <w:rFonts w:ascii="Calibri" w:eastAsia="Times New Roman" w:hAnsi="Calibri" w:cs="Calibri"/>
          <w:color w:val="0D0D0D"/>
          <w:sz w:val="22"/>
          <w:szCs w:val="22"/>
          <w:shd w:val="clear" w:color="auto" w:fill="FFFFFF"/>
          <w:lang w:eastAsia="en-US"/>
        </w:rPr>
        <w:t>. SBA serves as an effective tool for both introducing students to the topic and evaluating their understanding of it.</w:t>
      </w:r>
    </w:p>
    <w:p w14:paraId="15D7325E" w14:textId="77777777" w:rsidR="00AC21B8" w:rsidRPr="00AC21B8" w:rsidRDefault="00AC21B8" w:rsidP="00AC21B8">
      <w:pPr>
        <w:outlineLvl w:val="1"/>
        <w:rPr>
          <w:rFonts w:ascii="Times New Roman" w:eastAsia="Times New Roman" w:hAnsi="Times New Roman"/>
          <w:b/>
          <w:bCs/>
          <w:sz w:val="36"/>
          <w:szCs w:val="36"/>
          <w:lang w:eastAsia="en-US"/>
        </w:rPr>
      </w:pPr>
      <w:r w:rsidRPr="00AC21B8">
        <w:rPr>
          <w:rFonts w:ascii="Calibri" w:eastAsia="Times New Roman" w:hAnsi="Calibri" w:cs="Calibri"/>
          <w:b/>
          <w:bCs/>
          <w:smallCaps/>
          <w:color w:val="6786B9"/>
          <w:sz w:val="32"/>
          <w:szCs w:val="32"/>
          <w:shd w:val="clear" w:color="auto" w:fill="FFFFFF"/>
          <w:lang w:eastAsia="en-US"/>
        </w:rPr>
        <w:lastRenderedPageBreak/>
        <w:t>Examples</w:t>
      </w:r>
    </w:p>
    <w:p w14:paraId="7BB40FCB" w14:textId="22DF1908" w:rsidR="00AC21B8" w:rsidRDefault="00AC21B8" w:rsidP="00AC21B8">
      <w:pPr>
        <w:spacing w:after="160"/>
        <w:rPr>
          <w:rFonts w:ascii="Calibri" w:eastAsia="Times New Roman" w:hAnsi="Calibri" w:cs="Calibri"/>
          <w:color w:val="0D0D0D"/>
          <w:sz w:val="22"/>
          <w:szCs w:val="22"/>
          <w:shd w:val="clear" w:color="auto" w:fill="FFFFFF"/>
          <w:lang w:eastAsia="en-US"/>
        </w:rPr>
      </w:pPr>
      <w:r w:rsidRPr="00AC21B8">
        <w:rPr>
          <w:rFonts w:ascii="Calibri" w:eastAsia="Times New Roman" w:hAnsi="Calibri" w:cs="Calibri"/>
          <w:color w:val="0D0D0D"/>
          <w:sz w:val="22"/>
          <w:szCs w:val="22"/>
          <w:shd w:val="clear" w:color="auto" w:fill="FFFFFF"/>
          <w:lang w:eastAsia="en-US"/>
        </w:rPr>
        <w:t xml:space="preserve">Here is one example scenario highlighting </w:t>
      </w:r>
      <w:proofErr w:type="gramStart"/>
      <w:r w:rsidRPr="00AC21B8">
        <w:rPr>
          <w:rFonts w:ascii="Calibri" w:eastAsia="Times New Roman" w:hAnsi="Calibri" w:cs="Calibri"/>
          <w:color w:val="0D0D0D"/>
          <w:sz w:val="22"/>
          <w:szCs w:val="22"/>
          <w:shd w:val="clear" w:color="auto" w:fill="FFFFFF"/>
          <w:lang w:eastAsia="en-US"/>
        </w:rPr>
        <w:t>the ‘Being a</w:t>
      </w:r>
      <w:proofErr w:type="gramEnd"/>
      <w:r w:rsidRPr="00AC21B8">
        <w:rPr>
          <w:rFonts w:ascii="Calibri" w:eastAsia="Times New Roman" w:hAnsi="Calibri" w:cs="Calibri"/>
          <w:color w:val="0D0D0D"/>
          <w:sz w:val="22"/>
          <w:szCs w:val="22"/>
          <w:shd w:val="clear" w:color="auto" w:fill="FFFFFF"/>
          <w:lang w:eastAsia="en-US"/>
        </w:rPr>
        <w:t xml:space="preserve"> team </w:t>
      </w:r>
      <w:proofErr w:type="gramStart"/>
      <w:r w:rsidRPr="00AC21B8">
        <w:rPr>
          <w:rFonts w:ascii="Calibri" w:eastAsia="Times New Roman" w:hAnsi="Calibri" w:cs="Calibri"/>
          <w:color w:val="0D0D0D"/>
          <w:sz w:val="22"/>
          <w:szCs w:val="22"/>
          <w:shd w:val="clear" w:color="auto" w:fill="FFFFFF"/>
          <w:lang w:eastAsia="en-US"/>
        </w:rPr>
        <w:t>player’</w:t>
      </w:r>
      <w:proofErr w:type="gramEnd"/>
      <w:r w:rsidRPr="00AC21B8">
        <w:rPr>
          <w:rFonts w:ascii="Calibri" w:eastAsia="Times New Roman" w:hAnsi="Calibri" w:cs="Calibri"/>
          <w:color w:val="0D0D0D"/>
          <w:sz w:val="22"/>
          <w:szCs w:val="22"/>
          <w:shd w:val="clear" w:color="auto" w:fill="FFFFFF"/>
          <w:lang w:eastAsia="en-US"/>
        </w:rPr>
        <w:t xml:space="preserve"> disposition.</w:t>
      </w:r>
    </w:p>
    <w:p w14:paraId="133D7DA3" w14:textId="77777777" w:rsidR="00AC21B8" w:rsidRPr="00AC21B8" w:rsidRDefault="00AC21B8" w:rsidP="00AC21B8">
      <w:r w:rsidRPr="00AC21B8">
        <w:rPr>
          <w:b/>
          <w:bCs/>
        </w:rPr>
        <w:t>Launch Day Looms</w:t>
      </w:r>
    </w:p>
    <w:p w14:paraId="3909887E" w14:textId="11C0B6EC" w:rsidR="00AC21B8" w:rsidRPr="00AC21B8" w:rsidRDefault="00AC21B8" w:rsidP="00AC21B8">
      <w:r w:rsidRPr="00AC21B8">
        <w:rPr>
          <w:rFonts w:ascii="Calibri" w:eastAsia="Times New Roman" w:hAnsi="Calibri" w:cs="Calibri"/>
          <w:noProof/>
          <w:color w:val="000000"/>
          <w:bdr w:val="none" w:sz="0" w:space="0" w:color="auto" w:frame="1"/>
          <w:lang w:eastAsia="en-US"/>
        </w:rPr>
        <w:drawing>
          <wp:anchor distT="0" distB="0" distL="114300" distR="114300" simplePos="0" relativeHeight="251658240" behindDoc="0" locked="0" layoutInCell="1" allowOverlap="1" wp14:anchorId="29363AFA" wp14:editId="44BCFC32">
            <wp:simplePos x="0" y="0"/>
            <wp:positionH relativeFrom="column">
              <wp:posOffset>0</wp:posOffset>
            </wp:positionH>
            <wp:positionV relativeFrom="paragraph">
              <wp:posOffset>-1905</wp:posOffset>
            </wp:positionV>
            <wp:extent cx="2453921" cy="2571750"/>
            <wp:effectExtent l="0" t="0" r="3810" b="0"/>
            <wp:wrapSquare wrapText="bothSides"/>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3921" cy="2571750"/>
                    </a:xfrm>
                    <a:prstGeom prst="rect">
                      <a:avLst/>
                    </a:prstGeom>
                    <a:noFill/>
                    <a:ln>
                      <a:noFill/>
                    </a:ln>
                  </pic:spPr>
                </pic:pic>
              </a:graphicData>
            </a:graphic>
          </wp:anchor>
        </w:drawing>
      </w:r>
      <w:r w:rsidRPr="00AC21B8">
        <w:t>In the bustling office of a small but ambitious software startup, the development team is racing against time to finalize their latest project, a comprehensive project management tool designed to cater to small businesses. The tool, which combines task management, time tracking, and resource allocation features, is the result of months of hard work and the team's aspirations for making a significant impact in the market.</w:t>
      </w:r>
    </w:p>
    <w:p w14:paraId="3DC61F0B" w14:textId="77777777" w:rsidR="00AC21B8" w:rsidRPr="00AC21B8" w:rsidRDefault="00AC21B8" w:rsidP="00AC21B8">
      <w:r w:rsidRPr="00AC21B8">
        <w:t xml:space="preserve">As the launch day approaches, a critical issue emerges: the integration of the time tracking feature with the task management component is not functioning as smoothly as expected, leading to inaccuracies in reporting and potential data loss. The problem lies in the overlap of code written by two key team members, Priya and Carlos, who have been working in parallel </w:t>
      </w:r>
      <w:proofErr w:type="gramStart"/>
      <w:r w:rsidRPr="00AC21B8">
        <w:t>on</w:t>
      </w:r>
      <w:proofErr w:type="gramEnd"/>
      <w:r w:rsidRPr="00AC21B8">
        <w:t xml:space="preserve"> these separate features. While both features work well independently, their integration has been overlooked, resulting in a significant setback.</w:t>
      </w:r>
    </w:p>
    <w:p w14:paraId="74A1B798" w14:textId="4600E541" w:rsidR="00AC21B8" w:rsidRPr="00AC21B8" w:rsidRDefault="00AC21B8" w:rsidP="00AC21B8">
      <w:r w:rsidRPr="00AC21B8">
        <w:t xml:space="preserve">With the deadline just a week away, the team gathers for an urgent meeting. The atmosphere is tense; frustration and concern are evident on everyone's faces. The project lead, Amir, realizes that overcoming this hurdle requires more than just a quick </w:t>
      </w:r>
      <w:proofErr w:type="gramStart"/>
      <w:r w:rsidRPr="00AC21B8">
        <w:t>fix—it</w:t>
      </w:r>
      <w:proofErr w:type="gramEnd"/>
      <w:r w:rsidRPr="00AC21B8">
        <w:t xml:space="preserve"> demands a unified effort and a shift in how the team has been operating. Amir contemplates the best strategy to encourage a collaborative spirit that could salvage the project and ensure a successful launch. *</w:t>
      </w:r>
    </w:p>
    <w:p w14:paraId="7B0D30CF" w14:textId="77777777" w:rsidR="00AC21B8" w:rsidRDefault="00AC21B8" w:rsidP="00AC21B8">
      <w:pPr>
        <w:rPr>
          <w:i/>
          <w:iCs/>
        </w:rPr>
      </w:pPr>
      <w:r w:rsidRPr="00AC21B8">
        <w:rPr>
          <w:i/>
          <w:iCs/>
        </w:rPr>
        <w:t>OpenAI. (2024). Scenario &amp; photo provided by ChatGPT.</w:t>
      </w:r>
    </w:p>
    <w:p w14:paraId="0EC0A8EA" w14:textId="77777777" w:rsidR="00AC21B8" w:rsidRPr="00AC21B8" w:rsidRDefault="00AC21B8" w:rsidP="00AC21B8">
      <w:r w:rsidRPr="00AC21B8">
        <w:t>What type of dispositions should the team prioritize to overcome their challenge?</w:t>
      </w:r>
    </w:p>
    <w:p w14:paraId="101CD4CE" w14:textId="77777777" w:rsidR="00AC21B8" w:rsidRPr="00AC21B8" w:rsidRDefault="00AC21B8" w:rsidP="00AC21B8">
      <w:pPr>
        <w:pStyle w:val="ListParagraph"/>
        <w:numPr>
          <w:ilvl w:val="0"/>
          <w:numId w:val="14"/>
        </w:numPr>
      </w:pPr>
      <w:r w:rsidRPr="00AC21B8">
        <w:rPr>
          <w:b/>
          <w:bCs/>
        </w:rPr>
        <w:t>Being Ethical:</w:t>
      </w:r>
      <w:r w:rsidRPr="00AC21B8">
        <w:t xml:space="preserve"> The quality of being exact and accurate, especially in the coding and debugging process.</w:t>
      </w:r>
    </w:p>
    <w:p w14:paraId="3D1CAB5E" w14:textId="77777777" w:rsidR="00AC21B8" w:rsidRPr="00AC21B8" w:rsidRDefault="00AC21B8" w:rsidP="00AC21B8">
      <w:pPr>
        <w:pStyle w:val="ListParagraph"/>
        <w:numPr>
          <w:ilvl w:val="0"/>
          <w:numId w:val="14"/>
        </w:numPr>
      </w:pPr>
      <w:r w:rsidRPr="00AC21B8">
        <w:rPr>
          <w:b/>
          <w:bCs/>
        </w:rPr>
        <w:t>Being a Team Player:</w:t>
      </w:r>
      <w:r w:rsidRPr="00AC21B8">
        <w:t xml:space="preserve"> The willingness to work jointly with others, pooling knowledge and efforts to achieve a common objective.</w:t>
      </w:r>
    </w:p>
    <w:p w14:paraId="0FE70866" w14:textId="77777777" w:rsidR="00AC21B8" w:rsidRPr="00AC21B8" w:rsidRDefault="00AC21B8" w:rsidP="00AC21B8">
      <w:pPr>
        <w:pStyle w:val="ListParagraph"/>
        <w:numPr>
          <w:ilvl w:val="0"/>
          <w:numId w:val="14"/>
        </w:numPr>
      </w:pPr>
      <w:proofErr w:type="gramStart"/>
      <w:r w:rsidRPr="00AC21B8">
        <w:rPr>
          <w:b/>
          <w:bCs/>
        </w:rPr>
        <w:t>Develop</w:t>
      </w:r>
      <w:proofErr w:type="gramEnd"/>
      <w:r w:rsidRPr="00AC21B8">
        <w:rPr>
          <w:b/>
          <w:bCs/>
        </w:rPr>
        <w:t xml:space="preserve"> and Test Mindset:</w:t>
      </w:r>
      <w:r w:rsidRPr="00AC21B8">
        <w:t xml:space="preserve"> The ability to assess and initiate things, taking charge of the situation without waiting for directions.</w:t>
      </w:r>
    </w:p>
    <w:p w14:paraId="2D39DCF7" w14:textId="77777777" w:rsidR="00AC21B8" w:rsidRPr="00AC21B8" w:rsidRDefault="00AC21B8" w:rsidP="00AC21B8">
      <w:pPr>
        <w:pStyle w:val="ListParagraph"/>
        <w:numPr>
          <w:ilvl w:val="0"/>
          <w:numId w:val="14"/>
        </w:numPr>
      </w:pPr>
      <w:r w:rsidRPr="00AC21B8">
        <w:rPr>
          <w:b/>
          <w:bCs/>
        </w:rPr>
        <w:t>Lifelong Learning Mindset:</w:t>
      </w:r>
      <w:r w:rsidRPr="00AC21B8">
        <w:t xml:space="preserve"> The readiness to adapt to new challenges, changing plans, or approaches as required by the situation.</w:t>
      </w:r>
    </w:p>
    <w:p w14:paraId="1FDEB424" w14:textId="77777777" w:rsidR="00AC21B8" w:rsidRPr="00AC21B8" w:rsidRDefault="00AC21B8" w:rsidP="00AC21B8">
      <w:r w:rsidRPr="00AC21B8">
        <w:t>What is your reasoning for your choice? You can quote sentences from the Scenario as a reference.</w:t>
      </w:r>
    </w:p>
    <w:p w14:paraId="70AC50FA" w14:textId="77777777" w:rsidR="00AC21B8" w:rsidRPr="00AC21B8" w:rsidRDefault="00AC21B8" w:rsidP="00AC21B8"/>
    <w:p w14:paraId="7C0189B4" w14:textId="77777777" w:rsidR="00AC21B8" w:rsidRPr="00AC21B8" w:rsidRDefault="00AC21B8" w:rsidP="00AC21B8">
      <w:pPr>
        <w:outlineLvl w:val="1"/>
        <w:rPr>
          <w:rFonts w:ascii="Times New Roman" w:eastAsia="Times New Roman" w:hAnsi="Times New Roman"/>
          <w:b/>
          <w:bCs/>
          <w:sz w:val="36"/>
          <w:szCs w:val="36"/>
          <w:lang w:eastAsia="en-US"/>
        </w:rPr>
      </w:pPr>
      <w:r w:rsidRPr="00AC21B8">
        <w:rPr>
          <w:rFonts w:ascii="Calibri" w:eastAsia="Times New Roman" w:hAnsi="Calibri" w:cs="Calibri"/>
          <w:b/>
          <w:bCs/>
          <w:smallCaps/>
          <w:color w:val="6786B9"/>
          <w:sz w:val="32"/>
          <w:szCs w:val="32"/>
          <w:lang w:eastAsia="en-US"/>
        </w:rPr>
        <w:t>References </w:t>
      </w:r>
    </w:p>
    <w:p w14:paraId="620CBAD8" w14:textId="77777777" w:rsidR="00AC21B8" w:rsidRPr="00AC21B8" w:rsidRDefault="00AC21B8" w:rsidP="00AC21B8">
      <w:pPr>
        <w:spacing w:after="0"/>
        <w:ind w:left="220" w:hanging="220"/>
        <w:rPr>
          <w:rFonts w:ascii="Times New Roman" w:eastAsia="Times New Roman" w:hAnsi="Times New Roman"/>
          <w:sz w:val="24"/>
          <w:szCs w:val="24"/>
          <w:lang w:eastAsia="en-US"/>
        </w:rPr>
      </w:pPr>
      <w:r w:rsidRPr="00AC21B8">
        <w:rPr>
          <w:rFonts w:ascii="Calibri" w:eastAsia="Times New Roman" w:hAnsi="Calibri" w:cs="Calibri"/>
          <w:color w:val="0D0D0D"/>
          <w:sz w:val="21"/>
          <w:szCs w:val="21"/>
          <w:shd w:val="clear" w:color="auto" w:fill="FFFFFF"/>
          <w:lang w:eastAsia="en-US"/>
        </w:rPr>
        <w:t> </w:t>
      </w:r>
      <w:r w:rsidRPr="00AC21B8">
        <w:rPr>
          <w:rFonts w:ascii="Calibri" w:eastAsia="Times New Roman" w:hAnsi="Calibri" w:cs="Calibri"/>
          <w:color w:val="0D0D0D"/>
          <w:shd w:val="clear" w:color="auto" w:fill="FFFFFF"/>
          <w:lang w:eastAsia="en-US"/>
        </w:rPr>
        <w:t xml:space="preserve">McCauley, R., Sabin, M., Kumar, A. N., Kiesler, N., </w:t>
      </w:r>
      <w:proofErr w:type="spellStart"/>
      <w:r w:rsidRPr="00AC21B8">
        <w:rPr>
          <w:rFonts w:ascii="Calibri" w:eastAsia="Times New Roman" w:hAnsi="Calibri" w:cs="Calibri"/>
          <w:color w:val="0D0D0D"/>
          <w:shd w:val="clear" w:color="auto" w:fill="FFFFFF"/>
          <w:lang w:eastAsia="en-US"/>
        </w:rPr>
        <w:t>MacKellar</w:t>
      </w:r>
      <w:proofErr w:type="spellEnd"/>
      <w:r w:rsidRPr="00AC21B8">
        <w:rPr>
          <w:rFonts w:ascii="Calibri" w:eastAsia="Times New Roman" w:hAnsi="Calibri" w:cs="Calibri"/>
          <w:color w:val="0D0D0D"/>
          <w:shd w:val="clear" w:color="auto" w:fill="FFFFFF"/>
          <w:lang w:eastAsia="en-US"/>
        </w:rPr>
        <w:t xml:space="preserve">, B., Raj, R. K., &amp; Impagliazzo, J. (2023). Using Vignettes to Elicit Students’ Understanding of Dispositions in Computing Education. </w:t>
      </w:r>
      <w:r w:rsidRPr="00AC21B8">
        <w:rPr>
          <w:rFonts w:ascii="Calibri" w:eastAsia="Times New Roman" w:hAnsi="Calibri" w:cs="Calibri"/>
          <w:i/>
          <w:iCs/>
          <w:color w:val="0D0D0D"/>
          <w:shd w:val="clear" w:color="auto" w:fill="FFFFFF"/>
          <w:lang w:eastAsia="en-US"/>
        </w:rPr>
        <w:t>2023 IEEE Frontiers in Education Conference (FIE)</w:t>
      </w:r>
      <w:r w:rsidRPr="00AC21B8">
        <w:rPr>
          <w:rFonts w:ascii="Calibri" w:eastAsia="Times New Roman" w:hAnsi="Calibri" w:cs="Calibri"/>
          <w:color w:val="0D0D0D"/>
          <w:shd w:val="clear" w:color="auto" w:fill="FFFFFF"/>
          <w:lang w:eastAsia="en-US"/>
        </w:rPr>
        <w:t>, 1–5. https://doi.org/10.1109/FIE58773.2023.10342915</w:t>
      </w:r>
    </w:p>
    <w:p w14:paraId="1D68E56F" w14:textId="77777777" w:rsidR="00AC21B8" w:rsidRPr="00AC21B8" w:rsidRDefault="00AC21B8" w:rsidP="00AC21B8">
      <w:pPr>
        <w:spacing w:after="0"/>
        <w:ind w:left="220" w:hanging="220"/>
        <w:rPr>
          <w:rFonts w:ascii="Times New Roman" w:eastAsia="Times New Roman" w:hAnsi="Times New Roman"/>
          <w:sz w:val="24"/>
          <w:szCs w:val="24"/>
          <w:lang w:eastAsia="en-US"/>
        </w:rPr>
      </w:pPr>
      <w:r w:rsidRPr="00AC21B8">
        <w:rPr>
          <w:rFonts w:ascii="Calibri" w:eastAsia="Times New Roman" w:hAnsi="Calibri" w:cs="Calibri"/>
          <w:color w:val="0D0D0D"/>
          <w:shd w:val="clear" w:color="auto" w:fill="FFFFFF"/>
          <w:lang w:eastAsia="en-US"/>
        </w:rPr>
        <w:t xml:space="preserve">Tagare, D., Janakiraman, S., Exter, M., Duan, S., Sabin, M., &amp; Tavakoli, J. (2023). Dispositions that Computing Professionals Value in the Workplace: Systematic Literature Review and Interviews with Professionals. </w:t>
      </w:r>
      <w:r w:rsidRPr="00AC21B8">
        <w:rPr>
          <w:rFonts w:ascii="Calibri" w:eastAsia="Times New Roman" w:hAnsi="Calibri" w:cs="Calibri"/>
          <w:i/>
          <w:iCs/>
          <w:color w:val="0D0D0D"/>
          <w:shd w:val="clear" w:color="auto" w:fill="FFFFFF"/>
          <w:lang w:eastAsia="en-US"/>
        </w:rPr>
        <w:t>Proceedings of the 2023 ACM Conference on International Computing Education Research - Volume 1</w:t>
      </w:r>
      <w:r w:rsidRPr="00AC21B8">
        <w:rPr>
          <w:rFonts w:ascii="Calibri" w:eastAsia="Times New Roman" w:hAnsi="Calibri" w:cs="Calibri"/>
          <w:color w:val="0D0D0D"/>
          <w:shd w:val="clear" w:color="auto" w:fill="FFFFFF"/>
          <w:lang w:eastAsia="en-US"/>
        </w:rPr>
        <w:t xml:space="preserve">, </w:t>
      </w:r>
      <w:r w:rsidRPr="00AC21B8">
        <w:rPr>
          <w:rFonts w:ascii="Calibri" w:eastAsia="Times New Roman" w:hAnsi="Calibri" w:cs="Calibri"/>
          <w:i/>
          <w:iCs/>
          <w:color w:val="0D0D0D"/>
          <w:shd w:val="clear" w:color="auto" w:fill="FFFFFF"/>
          <w:lang w:eastAsia="en-US"/>
        </w:rPr>
        <w:t>1</w:t>
      </w:r>
      <w:r w:rsidRPr="00AC21B8">
        <w:rPr>
          <w:rFonts w:ascii="Calibri" w:eastAsia="Times New Roman" w:hAnsi="Calibri" w:cs="Calibri"/>
          <w:color w:val="0D0D0D"/>
          <w:shd w:val="clear" w:color="auto" w:fill="FFFFFF"/>
          <w:lang w:eastAsia="en-US"/>
        </w:rPr>
        <w:t xml:space="preserve">, 270–283. </w:t>
      </w:r>
      <w:hyperlink r:id="rId9" w:history="1">
        <w:r w:rsidRPr="00AC21B8">
          <w:rPr>
            <w:rFonts w:ascii="Calibri" w:eastAsia="Times New Roman" w:hAnsi="Calibri" w:cs="Calibri"/>
            <w:color w:val="1155CC"/>
            <w:u w:val="single"/>
            <w:shd w:val="clear" w:color="auto" w:fill="FFFFFF"/>
            <w:lang w:eastAsia="en-US"/>
          </w:rPr>
          <w:t>https://doi.org/10.1145/3568813.3600118</w:t>
        </w:r>
      </w:hyperlink>
    </w:p>
    <w:p w14:paraId="76F3D119" w14:textId="3A7EC40B" w:rsidR="00DB17D4" w:rsidRPr="004630F1" w:rsidRDefault="00DB17D4" w:rsidP="00461A60">
      <w:pPr>
        <w:pStyle w:val="Heading1"/>
      </w:pPr>
    </w:p>
    <w:sectPr w:rsidR="00DB17D4" w:rsidRPr="004630F1" w:rsidSect="00BD02EA">
      <w:headerReference w:type="default" r:id="rId10"/>
      <w:footerReference w:type="default" r:id="rId11"/>
      <w:type w:val="continuous"/>
      <w:pgSz w:w="12240" w:h="15840"/>
      <w:pgMar w:top="1440" w:right="1080" w:bottom="1440" w:left="1080" w:header="864" w:footer="576" w:gutter="0"/>
      <w:pgNumType w:start="1"/>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20A17" w14:textId="77777777" w:rsidR="001B5560" w:rsidRDefault="001B5560">
      <w:r>
        <w:separator/>
      </w:r>
    </w:p>
  </w:endnote>
  <w:endnote w:type="continuationSeparator" w:id="0">
    <w:p w14:paraId="1ED81071" w14:textId="77777777" w:rsidR="001B5560" w:rsidRDefault="001B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1380" w14:textId="33AFDA1F" w:rsidR="00663E8E" w:rsidRPr="0092522E" w:rsidRDefault="0092522E" w:rsidP="00A413F2">
    <w:pPr>
      <w:spacing w:before="80" w:after="0"/>
      <w:rPr>
        <w:i/>
        <w:iCs/>
        <w:sz w:val="13"/>
        <w:szCs w:val="13"/>
      </w:rPr>
    </w:pPr>
    <w:r>
      <w:rPr>
        <w:i/>
        <w:iCs/>
        <w:noProof/>
        <w:sz w:val="16"/>
        <w:szCs w:val="16"/>
      </w:rPr>
      <w:drawing>
        <wp:anchor distT="0" distB="0" distL="114300" distR="114300" simplePos="0" relativeHeight="251668992" behindDoc="0" locked="0" layoutInCell="1" allowOverlap="1" wp14:anchorId="67AB316C" wp14:editId="6F4DB7B3">
          <wp:simplePos x="0" y="0"/>
          <wp:positionH relativeFrom="column">
            <wp:posOffset>-47625</wp:posOffset>
          </wp:positionH>
          <wp:positionV relativeFrom="paragraph">
            <wp:posOffset>-184785</wp:posOffset>
          </wp:positionV>
          <wp:extent cx="923925" cy="500380"/>
          <wp:effectExtent l="0" t="0" r="9525" b="0"/>
          <wp:wrapSquare wrapText="bothSides"/>
          <wp:docPr id="1451460348" name="Graphic 1" descr="NS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60348" name="Graphic 1" descr="NSF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23925" cy="500380"/>
                  </a:xfrm>
                  <a:prstGeom prst="rect">
                    <a:avLst/>
                  </a:prstGeom>
                </pic:spPr>
              </pic:pic>
            </a:graphicData>
          </a:graphic>
          <wp14:sizeRelH relativeFrom="page">
            <wp14:pctWidth>0</wp14:pctWidth>
          </wp14:sizeRelH>
          <wp14:sizeRelV relativeFrom="page">
            <wp14:pctHeight>0</wp14:pctHeight>
          </wp14:sizeRelV>
        </wp:anchor>
      </w:drawing>
    </w:r>
    <w:r>
      <w:rPr>
        <w:i/>
        <w:iCs/>
        <w:noProof/>
        <w:sz w:val="13"/>
        <w:szCs w:val="13"/>
      </w:rPr>
      <w:drawing>
        <wp:anchor distT="0" distB="0" distL="114300" distR="114300" simplePos="0" relativeHeight="251667968" behindDoc="0" locked="0" layoutInCell="1" allowOverlap="1" wp14:anchorId="1F459D83" wp14:editId="11760628">
          <wp:simplePos x="0" y="0"/>
          <wp:positionH relativeFrom="column">
            <wp:posOffset>5829300</wp:posOffset>
          </wp:positionH>
          <wp:positionV relativeFrom="paragraph">
            <wp:posOffset>6985</wp:posOffset>
          </wp:positionV>
          <wp:extent cx="558800" cy="190500"/>
          <wp:effectExtent l="0" t="0" r="0" b="0"/>
          <wp:wrapSquare wrapText="bothSides"/>
          <wp:docPr id="665081488" name="Picture 3" descr="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81488" name="Picture 3" descr="CC by"/>
                  <pic:cNvPicPr/>
                </pic:nvPicPr>
                <pic:blipFill>
                  <a:blip r:embed="rId3">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14:sizeRelH relativeFrom="page">
            <wp14:pctWidth>0</wp14:pctWidth>
          </wp14:sizeRelH>
          <wp14:sizeRelV relativeFrom="page">
            <wp14:pctHeight>0</wp14:pctHeight>
          </wp14:sizeRelV>
        </wp:anchor>
      </w:drawing>
    </w:r>
    <w:r w:rsidR="00A413F2" w:rsidRPr="00764D8C">
      <w:rPr>
        <w:i/>
        <w:iCs/>
        <w:sz w:val="16"/>
        <w:szCs w:val="16"/>
      </w:rPr>
      <w:t>This material is based upon work supported by the U. S. National Science Foundation under Grants No. 2111097, 2110788, 2417492, 241747</w:t>
    </w:r>
    <w:r w:rsidR="00A413F2">
      <w:rPr>
        <w:i/>
        <w:iCs/>
        <w:sz w:val="16"/>
        <w:szCs w:val="16"/>
      </w:rPr>
      <w:t xml:space="preserve">. </w:t>
    </w:r>
    <w:r w:rsidR="00A413F2" w:rsidRPr="00764D8C">
      <w:rPr>
        <w:i/>
        <w:iCs/>
        <w:sz w:val="16"/>
        <w:szCs w:val="16"/>
      </w:rPr>
      <w:t>Any opinions, findings, and conclusions or recommendations expressed in this material are those of the author(s) and do not necessarily reflect the views of the National Science Foundation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ACFA" w14:textId="77777777" w:rsidR="001B5560" w:rsidRDefault="001B5560">
      <w:r>
        <w:separator/>
      </w:r>
    </w:p>
  </w:footnote>
  <w:footnote w:type="continuationSeparator" w:id="0">
    <w:p w14:paraId="3F6839B6" w14:textId="77777777" w:rsidR="001B5560" w:rsidRDefault="001B5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63D7" w14:textId="03FC394E" w:rsidR="00663E8E" w:rsidRPr="00402F41" w:rsidRDefault="00461A60" w:rsidP="00402F41">
    <w:pPr>
      <w:jc w:val="right"/>
      <w:rPr>
        <w:color w:val="FFFFFF" w:themeColor="background1"/>
        <w:sz w:val="24"/>
        <w:szCs w:val="24"/>
      </w:rPr>
    </w:pPr>
    <w:r>
      <w:rPr>
        <w:noProof/>
        <w:color w:val="FFFFFF" w:themeColor="background1"/>
        <w:sz w:val="24"/>
        <w:szCs w:val="24"/>
      </w:rPr>
      <mc:AlternateContent>
        <mc:Choice Requires="wps">
          <w:drawing>
            <wp:anchor distT="0" distB="0" distL="114300" distR="114300" simplePos="0" relativeHeight="251665920" behindDoc="0" locked="0" layoutInCell="1" allowOverlap="1" wp14:anchorId="2BF44A4B" wp14:editId="25BE6262">
              <wp:simplePos x="0" y="0"/>
              <wp:positionH relativeFrom="margin">
                <wp:posOffset>2127250</wp:posOffset>
              </wp:positionH>
              <wp:positionV relativeFrom="paragraph">
                <wp:posOffset>-427990</wp:posOffset>
              </wp:positionV>
              <wp:extent cx="4699000" cy="603250"/>
              <wp:effectExtent l="0" t="0" r="0" b="6350"/>
              <wp:wrapNone/>
              <wp:docPr id="417914432" name="Text Box 2"/>
              <wp:cNvGraphicFramePr/>
              <a:graphic xmlns:a="http://schemas.openxmlformats.org/drawingml/2006/main">
                <a:graphicData uri="http://schemas.microsoft.com/office/word/2010/wordprocessingShape">
                  <wps:wsp>
                    <wps:cNvSpPr txBox="1"/>
                    <wps:spPr>
                      <a:xfrm>
                        <a:off x="0" y="0"/>
                        <a:ext cx="4699000" cy="603250"/>
                      </a:xfrm>
                      <a:prstGeom prst="rect">
                        <a:avLst/>
                      </a:prstGeom>
                      <a:noFill/>
                      <a:ln w="6350">
                        <a:noFill/>
                      </a:ln>
                    </wps:spPr>
                    <wps:txbx>
                      <w:txbxContent>
                        <w:p w14:paraId="1DA98CD7" w14:textId="7BDAB56A" w:rsidR="00D203D0" w:rsidRPr="00A413F2" w:rsidRDefault="00D203D0" w:rsidP="00D203D0">
                          <w:pPr>
                            <w:jc w:val="right"/>
                            <w:rPr>
                              <w:sz w:val="24"/>
                              <w:szCs w:val="24"/>
                            </w:rPr>
                          </w:pPr>
                          <w:proofErr w:type="spellStart"/>
                          <w:r w:rsidRPr="00A413F2">
                            <w:rPr>
                              <w:b/>
                              <w:bCs/>
                              <w:color w:val="FFFFFF" w:themeColor="background1"/>
                              <w:sz w:val="32"/>
                              <w:szCs w:val="32"/>
                            </w:rPr>
                            <w:t>DEAPening</w:t>
                          </w:r>
                          <w:proofErr w:type="spellEnd"/>
                          <w:r w:rsidRPr="00A413F2">
                            <w:rPr>
                              <w:b/>
                              <w:bCs/>
                              <w:color w:val="FFFFFF" w:themeColor="background1"/>
                              <w:sz w:val="32"/>
                              <w:szCs w:val="32"/>
                            </w:rPr>
                            <w:t xml:space="preserve"> Employer Academic Relationships</w:t>
                          </w:r>
                          <w:r w:rsidRPr="00A413F2">
                            <w:rPr>
                              <w:color w:val="FFFFFF" w:themeColor="background1"/>
                              <w:sz w:val="32"/>
                              <w:szCs w:val="32"/>
                            </w:rPr>
                            <w:t xml:space="preserve"> www.deapcomp.or</w:t>
                          </w:r>
                          <w:r w:rsidR="00461A60" w:rsidRPr="00A413F2">
                            <w:rPr>
                              <w:color w:val="FFFFFF" w:themeColor="background1"/>
                              <w:sz w:val="32"/>
                              <w:szCs w:val="32"/>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44A4B" id="_x0000_t202" coordsize="21600,21600" o:spt="202" path="m,l,21600r21600,l21600,xe">
              <v:stroke joinstyle="miter"/>
              <v:path gradientshapeok="t" o:connecttype="rect"/>
            </v:shapetype>
            <v:shape id="Text Box 2" o:spid="_x0000_s1026" type="#_x0000_t202" style="position:absolute;left:0;text-align:left;margin-left:167.5pt;margin-top:-33.7pt;width:370pt;height:47.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" filled="f" stroked="f" strokeweight=".5pt">
              <v:textbox>
                <w:txbxContent>
                  <w:p w14:paraId="1DA98CD7" w14:textId="7BDAB56A" w:rsidR="00D203D0" w:rsidRPr="00A413F2" w:rsidRDefault="00D203D0" w:rsidP="00D203D0">
                    <w:pPr>
                      <w:jc w:val="right"/>
                      <w:rPr>
                        <w:sz w:val="24"/>
                        <w:szCs w:val="24"/>
                      </w:rPr>
                    </w:pPr>
                    <w:proofErr w:type="spellStart"/>
                    <w:r w:rsidRPr="00A413F2">
                      <w:rPr>
                        <w:b/>
                        <w:bCs/>
                        <w:color w:val="FFFFFF" w:themeColor="background1"/>
                        <w:sz w:val="32"/>
                        <w:szCs w:val="32"/>
                      </w:rPr>
                      <w:t>DEAPening</w:t>
                    </w:r>
                    <w:proofErr w:type="spellEnd"/>
                    <w:r w:rsidRPr="00A413F2">
                      <w:rPr>
                        <w:b/>
                        <w:bCs/>
                        <w:color w:val="FFFFFF" w:themeColor="background1"/>
                        <w:sz w:val="32"/>
                        <w:szCs w:val="32"/>
                      </w:rPr>
                      <w:t xml:space="preserve"> Employer Academic Relationships</w:t>
                    </w:r>
                    <w:r w:rsidRPr="00A413F2">
                      <w:rPr>
                        <w:color w:val="FFFFFF" w:themeColor="background1"/>
                        <w:sz w:val="32"/>
                        <w:szCs w:val="32"/>
                      </w:rPr>
                      <w:t xml:space="preserve"> www.deapcomp.or</w:t>
                    </w:r>
                    <w:r w:rsidR="00461A60" w:rsidRPr="00A413F2">
                      <w:rPr>
                        <w:color w:val="FFFFFF" w:themeColor="background1"/>
                        <w:sz w:val="32"/>
                        <w:szCs w:val="32"/>
                      </w:rPr>
                      <w:t>g</w:t>
                    </w:r>
                  </w:p>
                </w:txbxContent>
              </v:textbox>
              <w10:wrap anchorx="margin"/>
            </v:shape>
          </w:pict>
        </mc:Fallback>
      </mc:AlternateContent>
    </w:r>
    <w:r w:rsidRPr="00402F41">
      <w:rPr>
        <w:noProof/>
        <w:color w:val="FFFFFF" w:themeColor="background1"/>
        <w:sz w:val="24"/>
        <w:szCs w:val="24"/>
      </w:rPr>
      <w:drawing>
        <wp:anchor distT="0" distB="0" distL="114300" distR="114300" simplePos="0" relativeHeight="251663872" behindDoc="1" locked="0" layoutInCell="1" allowOverlap="1" wp14:anchorId="171E1006" wp14:editId="42993448">
          <wp:simplePos x="0" y="0"/>
          <wp:positionH relativeFrom="page">
            <wp:align>right</wp:align>
          </wp:positionH>
          <wp:positionV relativeFrom="paragraph">
            <wp:posOffset>-548005</wp:posOffset>
          </wp:positionV>
          <wp:extent cx="7772400" cy="1599973"/>
          <wp:effectExtent l="0" t="0" r="0" b="635"/>
          <wp:wrapNone/>
          <wp:docPr id="1711315221" name="Picture 5" descr="DEAP Header with th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15221" name="Picture 5" descr="DEAP Header with the logo."/>
                  <pic:cNvPicPr/>
                </pic:nvPicPr>
                <pic:blipFill>
                  <a:blip r:embed="rId1">
                    <a:extLst>
                      <a:ext uri="{28A0092B-C50C-407E-A947-70E740481C1C}">
                        <a14:useLocalDpi xmlns:a14="http://schemas.microsoft.com/office/drawing/2010/main" val="0"/>
                      </a:ext>
                    </a:extLst>
                  </a:blip>
                  <a:stretch>
                    <a:fillRect/>
                  </a:stretch>
                </pic:blipFill>
                <pic:spPr>
                  <a:xfrm>
                    <a:off x="0" y="0"/>
                    <a:ext cx="7772400" cy="15999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42.5pt" o:bullet="t">
        <v:imagedata r:id="rId1" o:title="icon"/>
      </v:shape>
    </w:pict>
  </w:numPicBullet>
  <w:abstractNum w:abstractNumId="0" w15:restartNumberingAfterBreak="0">
    <w:nsid w:val="05345E05"/>
    <w:multiLevelType w:val="multilevel"/>
    <w:tmpl w:val="7408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B2B90"/>
    <w:multiLevelType w:val="hybridMultilevel"/>
    <w:tmpl w:val="C2105794"/>
    <w:lvl w:ilvl="0" w:tplc="C4FC1CA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356C1D"/>
    <w:multiLevelType w:val="hybridMultilevel"/>
    <w:tmpl w:val="A0741342"/>
    <w:lvl w:ilvl="0" w:tplc="3DA408E6">
      <w:start w:val="1"/>
      <w:numFmt w:val="bullet"/>
      <w:pStyle w:val="DEAPLearningSetting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387EAB"/>
    <w:multiLevelType w:val="multilevel"/>
    <w:tmpl w:val="8DFA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1202A"/>
    <w:multiLevelType w:val="hybridMultilevel"/>
    <w:tmpl w:val="45AE7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A27403"/>
    <w:multiLevelType w:val="hybridMultilevel"/>
    <w:tmpl w:val="B36CBF1C"/>
    <w:lvl w:ilvl="0" w:tplc="D326F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BB52BD"/>
    <w:multiLevelType w:val="hybridMultilevel"/>
    <w:tmpl w:val="B9FEC724"/>
    <w:lvl w:ilvl="0" w:tplc="53149C76">
      <w:start w:val="1"/>
      <w:numFmt w:val="bullet"/>
      <w:pStyle w:val="DEAPBullet"/>
      <w:lvlText w:val=""/>
      <w:lvlPicBulletId w:val="0"/>
      <w:lvlJc w:val="left"/>
      <w:pPr>
        <w:tabs>
          <w:tab w:val="num" w:pos="360"/>
        </w:tabs>
        <w:ind w:left="360" w:hanging="360"/>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626A4B"/>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FDF6267"/>
    <w:multiLevelType w:val="hybridMultilevel"/>
    <w:tmpl w:val="6C600228"/>
    <w:lvl w:ilvl="0" w:tplc="41AE1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B74CEB"/>
    <w:multiLevelType w:val="multilevel"/>
    <w:tmpl w:val="B9FEC724"/>
    <w:styleLink w:val="CurrentList2"/>
    <w:lvl w:ilvl="0">
      <w:start w:val="1"/>
      <w:numFmt w:val="bullet"/>
      <w:lvlText w:val=""/>
      <w:lvlPicBulletId w:val="0"/>
      <w:lvlJc w:val="left"/>
      <w:pPr>
        <w:tabs>
          <w:tab w:val="num" w:pos="360"/>
        </w:tabs>
        <w:ind w:left="360" w:hanging="360"/>
      </w:pPr>
      <w:rPr>
        <w:rFonts w:ascii="Symbol" w:hAnsi="Symbol" w:hint="default"/>
        <w:color w:val="auto"/>
      </w:rPr>
    </w:lvl>
    <w:lvl w:ilvl="1">
      <w:start w:val="1"/>
      <w:numFmt w:val="decimal"/>
      <w:lvlText w:val="%2."/>
      <w:lvlJc w:val="left"/>
      <w:pPr>
        <w:tabs>
          <w:tab w:val="num" w:pos="1440"/>
        </w:tabs>
        <w:ind w:left="1440" w:hanging="360"/>
      </w:pPr>
      <w:rPr>
        <w:rFonts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BE5E3B"/>
    <w:multiLevelType w:val="hybridMultilevel"/>
    <w:tmpl w:val="7A242BCE"/>
    <w:lvl w:ilvl="0" w:tplc="D326F51A">
      <w:start w:val="1"/>
      <w:numFmt w:val="bullet"/>
      <w:lvlText w:val=""/>
      <w:lvlJc w:val="left"/>
      <w:pPr>
        <w:ind w:left="720" w:hanging="360"/>
      </w:pPr>
      <w:rPr>
        <w:rFonts w:ascii="Symbol" w:hAnsi="Symbol" w:hint="default"/>
      </w:rPr>
    </w:lvl>
    <w:lvl w:ilvl="1" w:tplc="9656DABA">
      <w:start w:val="1"/>
      <w:numFmt w:val="bullet"/>
      <w:lvlText w:val=""/>
      <w:lvlJc w:val="left"/>
      <w:pPr>
        <w:ind w:left="1440" w:hanging="360"/>
      </w:pPr>
      <w:rPr>
        <w:rFonts w:ascii="Symbol" w:hAnsi="Symbol" w:hint="default"/>
      </w:rPr>
    </w:lvl>
    <w:lvl w:ilvl="2" w:tplc="8F18FEEC">
      <w:start w:val="1"/>
      <w:numFmt w:val="bullet"/>
      <w:lvlText w:val=""/>
      <w:lvlJc w:val="left"/>
      <w:pPr>
        <w:ind w:left="2160" w:hanging="360"/>
      </w:pPr>
      <w:rPr>
        <w:rFonts w:ascii="Wingdings" w:hAnsi="Wingdings" w:hint="default"/>
      </w:rPr>
    </w:lvl>
    <w:lvl w:ilvl="3" w:tplc="3EB2826E">
      <w:start w:val="1"/>
      <w:numFmt w:val="bullet"/>
      <w:lvlText w:val=""/>
      <w:lvlJc w:val="left"/>
      <w:pPr>
        <w:ind w:left="2880" w:hanging="360"/>
      </w:pPr>
      <w:rPr>
        <w:rFonts w:ascii="Symbol" w:hAnsi="Symbol" w:hint="default"/>
      </w:rPr>
    </w:lvl>
    <w:lvl w:ilvl="4" w:tplc="3D80AB3A">
      <w:start w:val="1"/>
      <w:numFmt w:val="bullet"/>
      <w:lvlText w:val="o"/>
      <w:lvlJc w:val="left"/>
      <w:pPr>
        <w:ind w:left="3600" w:hanging="360"/>
      </w:pPr>
      <w:rPr>
        <w:rFonts w:ascii="Courier New" w:hAnsi="Courier New" w:hint="default"/>
      </w:rPr>
    </w:lvl>
    <w:lvl w:ilvl="5" w:tplc="699CEDC2">
      <w:start w:val="1"/>
      <w:numFmt w:val="bullet"/>
      <w:lvlText w:val=""/>
      <w:lvlJc w:val="left"/>
      <w:pPr>
        <w:ind w:left="4320" w:hanging="360"/>
      </w:pPr>
      <w:rPr>
        <w:rFonts w:ascii="Wingdings" w:hAnsi="Wingdings" w:hint="default"/>
      </w:rPr>
    </w:lvl>
    <w:lvl w:ilvl="6" w:tplc="F2F2D14E">
      <w:start w:val="1"/>
      <w:numFmt w:val="bullet"/>
      <w:lvlText w:val=""/>
      <w:lvlJc w:val="left"/>
      <w:pPr>
        <w:ind w:left="5040" w:hanging="360"/>
      </w:pPr>
      <w:rPr>
        <w:rFonts w:ascii="Symbol" w:hAnsi="Symbol" w:hint="default"/>
      </w:rPr>
    </w:lvl>
    <w:lvl w:ilvl="7" w:tplc="2E5871F6">
      <w:start w:val="1"/>
      <w:numFmt w:val="bullet"/>
      <w:lvlText w:val="o"/>
      <w:lvlJc w:val="left"/>
      <w:pPr>
        <w:ind w:left="5760" w:hanging="360"/>
      </w:pPr>
      <w:rPr>
        <w:rFonts w:ascii="Courier New" w:hAnsi="Courier New" w:hint="default"/>
      </w:rPr>
    </w:lvl>
    <w:lvl w:ilvl="8" w:tplc="6D1E94A8">
      <w:start w:val="1"/>
      <w:numFmt w:val="bullet"/>
      <w:lvlText w:val=""/>
      <w:lvlJc w:val="left"/>
      <w:pPr>
        <w:ind w:left="6480" w:hanging="360"/>
      </w:pPr>
      <w:rPr>
        <w:rFonts w:ascii="Wingdings" w:hAnsi="Wingdings" w:hint="default"/>
      </w:rPr>
    </w:lvl>
  </w:abstractNum>
  <w:abstractNum w:abstractNumId="11" w15:restartNumberingAfterBreak="0">
    <w:nsid w:val="70954F98"/>
    <w:multiLevelType w:val="multilevel"/>
    <w:tmpl w:val="7C904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F450A8"/>
    <w:multiLevelType w:val="multilevel"/>
    <w:tmpl w:val="109E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BF6EDB"/>
    <w:multiLevelType w:val="hybridMultilevel"/>
    <w:tmpl w:val="0BE22E9C"/>
    <w:lvl w:ilvl="0" w:tplc="AF68D860">
      <w:start w:val="1"/>
      <w:numFmt w:val="bullet"/>
      <w:lvlText w:val=""/>
      <w:lvlJc w:val="left"/>
      <w:pPr>
        <w:tabs>
          <w:tab w:val="num" w:pos="720"/>
        </w:tabs>
        <w:ind w:left="720" w:hanging="360"/>
      </w:pPr>
      <w:rPr>
        <w:rFonts w:ascii="Wingdings" w:hAnsi="Wingdings" w:hint="default"/>
      </w:rPr>
    </w:lvl>
    <w:lvl w:ilvl="1" w:tplc="68CA9E54" w:tentative="1">
      <w:start w:val="1"/>
      <w:numFmt w:val="bullet"/>
      <w:lvlText w:val="o"/>
      <w:lvlJc w:val="left"/>
      <w:pPr>
        <w:tabs>
          <w:tab w:val="num" w:pos="1440"/>
        </w:tabs>
        <w:ind w:left="1440" w:hanging="360"/>
      </w:pPr>
      <w:rPr>
        <w:rFonts w:ascii="Courier New" w:hAnsi="Courier New" w:hint="default"/>
      </w:rPr>
    </w:lvl>
    <w:lvl w:ilvl="2" w:tplc="A6360646" w:tentative="1">
      <w:start w:val="1"/>
      <w:numFmt w:val="bullet"/>
      <w:lvlText w:val=""/>
      <w:lvlJc w:val="left"/>
      <w:pPr>
        <w:tabs>
          <w:tab w:val="num" w:pos="2160"/>
        </w:tabs>
        <w:ind w:left="2160" w:hanging="360"/>
      </w:pPr>
      <w:rPr>
        <w:rFonts w:ascii="Wingdings" w:hAnsi="Wingdings" w:hint="default"/>
      </w:rPr>
    </w:lvl>
    <w:lvl w:ilvl="3" w:tplc="F5CAE0BE" w:tentative="1">
      <w:start w:val="1"/>
      <w:numFmt w:val="bullet"/>
      <w:lvlText w:val=""/>
      <w:lvlJc w:val="left"/>
      <w:pPr>
        <w:tabs>
          <w:tab w:val="num" w:pos="2880"/>
        </w:tabs>
        <w:ind w:left="2880" w:hanging="360"/>
      </w:pPr>
      <w:rPr>
        <w:rFonts w:ascii="Symbol" w:hAnsi="Symbol" w:hint="default"/>
      </w:rPr>
    </w:lvl>
    <w:lvl w:ilvl="4" w:tplc="80665BB8" w:tentative="1">
      <w:start w:val="1"/>
      <w:numFmt w:val="bullet"/>
      <w:lvlText w:val="o"/>
      <w:lvlJc w:val="left"/>
      <w:pPr>
        <w:tabs>
          <w:tab w:val="num" w:pos="3600"/>
        </w:tabs>
        <w:ind w:left="3600" w:hanging="360"/>
      </w:pPr>
      <w:rPr>
        <w:rFonts w:ascii="Courier New" w:hAnsi="Courier New" w:hint="default"/>
      </w:rPr>
    </w:lvl>
    <w:lvl w:ilvl="5" w:tplc="3D929ED2" w:tentative="1">
      <w:start w:val="1"/>
      <w:numFmt w:val="bullet"/>
      <w:lvlText w:val=""/>
      <w:lvlJc w:val="left"/>
      <w:pPr>
        <w:tabs>
          <w:tab w:val="num" w:pos="4320"/>
        </w:tabs>
        <w:ind w:left="4320" w:hanging="360"/>
      </w:pPr>
      <w:rPr>
        <w:rFonts w:ascii="Wingdings" w:hAnsi="Wingdings" w:hint="default"/>
      </w:rPr>
    </w:lvl>
    <w:lvl w:ilvl="6" w:tplc="566E3FD8" w:tentative="1">
      <w:start w:val="1"/>
      <w:numFmt w:val="bullet"/>
      <w:lvlText w:val=""/>
      <w:lvlJc w:val="left"/>
      <w:pPr>
        <w:tabs>
          <w:tab w:val="num" w:pos="5040"/>
        </w:tabs>
        <w:ind w:left="5040" w:hanging="360"/>
      </w:pPr>
      <w:rPr>
        <w:rFonts w:ascii="Symbol" w:hAnsi="Symbol" w:hint="default"/>
      </w:rPr>
    </w:lvl>
    <w:lvl w:ilvl="7" w:tplc="B922E52A" w:tentative="1">
      <w:start w:val="1"/>
      <w:numFmt w:val="bullet"/>
      <w:lvlText w:val="o"/>
      <w:lvlJc w:val="left"/>
      <w:pPr>
        <w:tabs>
          <w:tab w:val="num" w:pos="5760"/>
        </w:tabs>
        <w:ind w:left="5760" w:hanging="360"/>
      </w:pPr>
      <w:rPr>
        <w:rFonts w:ascii="Courier New" w:hAnsi="Courier New" w:hint="default"/>
      </w:rPr>
    </w:lvl>
    <w:lvl w:ilvl="8" w:tplc="24704E1A" w:tentative="1">
      <w:start w:val="1"/>
      <w:numFmt w:val="bullet"/>
      <w:lvlText w:val=""/>
      <w:lvlJc w:val="left"/>
      <w:pPr>
        <w:tabs>
          <w:tab w:val="num" w:pos="6480"/>
        </w:tabs>
        <w:ind w:left="6480" w:hanging="360"/>
      </w:pPr>
      <w:rPr>
        <w:rFonts w:ascii="Wingdings" w:hAnsi="Wingdings" w:hint="default"/>
      </w:rPr>
    </w:lvl>
  </w:abstractNum>
  <w:num w:numId="1" w16cid:durableId="1208420260">
    <w:abstractNumId w:val="13"/>
  </w:num>
  <w:num w:numId="2" w16cid:durableId="763846716">
    <w:abstractNumId w:val="6"/>
  </w:num>
  <w:num w:numId="3" w16cid:durableId="1107964607">
    <w:abstractNumId w:val="1"/>
  </w:num>
  <w:num w:numId="4" w16cid:durableId="1717007310">
    <w:abstractNumId w:val="10"/>
  </w:num>
  <w:num w:numId="5" w16cid:durableId="1752042604">
    <w:abstractNumId w:val="8"/>
  </w:num>
  <w:num w:numId="6" w16cid:durableId="928543262">
    <w:abstractNumId w:val="5"/>
  </w:num>
  <w:num w:numId="7" w16cid:durableId="1245341017">
    <w:abstractNumId w:val="3"/>
  </w:num>
  <w:num w:numId="8" w16cid:durableId="1118600428">
    <w:abstractNumId w:val="7"/>
  </w:num>
  <w:num w:numId="9" w16cid:durableId="475877001">
    <w:abstractNumId w:val="9"/>
  </w:num>
  <w:num w:numId="10" w16cid:durableId="1419865402">
    <w:abstractNumId w:val="2"/>
  </w:num>
  <w:num w:numId="11" w16cid:durableId="1528523819">
    <w:abstractNumId w:val="11"/>
  </w:num>
  <w:num w:numId="12" w16cid:durableId="1961375572">
    <w:abstractNumId w:val="12"/>
  </w:num>
  <w:num w:numId="13" w16cid:durableId="1305962017">
    <w:abstractNumId w:val="0"/>
  </w:num>
  <w:num w:numId="14" w16cid:durableId="1140726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60"/>
    <w:rsid w:val="00024C09"/>
    <w:rsid w:val="00112219"/>
    <w:rsid w:val="00123F0E"/>
    <w:rsid w:val="00126457"/>
    <w:rsid w:val="00192244"/>
    <w:rsid w:val="001B5560"/>
    <w:rsid w:val="001E2947"/>
    <w:rsid w:val="00253C32"/>
    <w:rsid w:val="00380301"/>
    <w:rsid w:val="003B74C3"/>
    <w:rsid w:val="003E2B11"/>
    <w:rsid w:val="003E41ED"/>
    <w:rsid w:val="003F50B7"/>
    <w:rsid w:val="00402F41"/>
    <w:rsid w:val="004151E5"/>
    <w:rsid w:val="00461A60"/>
    <w:rsid w:val="004630F1"/>
    <w:rsid w:val="005371FD"/>
    <w:rsid w:val="00585A89"/>
    <w:rsid w:val="00596D67"/>
    <w:rsid w:val="005B4CA2"/>
    <w:rsid w:val="005D26BE"/>
    <w:rsid w:val="00663152"/>
    <w:rsid w:val="00663E8E"/>
    <w:rsid w:val="006674A1"/>
    <w:rsid w:val="00680D88"/>
    <w:rsid w:val="00683766"/>
    <w:rsid w:val="007321FE"/>
    <w:rsid w:val="00742992"/>
    <w:rsid w:val="00774C4E"/>
    <w:rsid w:val="00774EBA"/>
    <w:rsid w:val="00781EDC"/>
    <w:rsid w:val="00883C98"/>
    <w:rsid w:val="00886F8C"/>
    <w:rsid w:val="008939DE"/>
    <w:rsid w:val="0090697B"/>
    <w:rsid w:val="0092522E"/>
    <w:rsid w:val="009571BB"/>
    <w:rsid w:val="0099089B"/>
    <w:rsid w:val="00A413F2"/>
    <w:rsid w:val="00A44DDD"/>
    <w:rsid w:val="00AC013D"/>
    <w:rsid w:val="00AC21B8"/>
    <w:rsid w:val="00AD2938"/>
    <w:rsid w:val="00B335B4"/>
    <w:rsid w:val="00B73F88"/>
    <w:rsid w:val="00BD02EA"/>
    <w:rsid w:val="00C1549E"/>
    <w:rsid w:val="00CA185A"/>
    <w:rsid w:val="00CF5AD5"/>
    <w:rsid w:val="00D203D0"/>
    <w:rsid w:val="00D308B8"/>
    <w:rsid w:val="00D90965"/>
    <w:rsid w:val="00DA4D69"/>
    <w:rsid w:val="00DB17D4"/>
    <w:rsid w:val="00DC346F"/>
    <w:rsid w:val="00E05416"/>
    <w:rsid w:val="00F0602B"/>
    <w:rsid w:val="00F73C25"/>
    <w:rsid w:val="00F82945"/>
    <w:rsid w:val="00FE06CD"/>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1BB01"/>
  <w15:docId w15:val="{812E8B39-F726-4E99-A6B3-0A682A81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AP Normal Body Text"/>
    <w:qFormat/>
    <w:rsid w:val="009571BB"/>
    <w:pPr>
      <w:spacing w:after="120"/>
    </w:pPr>
    <w:rPr>
      <w:rFonts w:asciiTheme="minorHAnsi" w:eastAsia="Times" w:hAnsiTheme="minorHAnsi"/>
      <w:lang w:eastAsia="ko-KR"/>
    </w:rPr>
  </w:style>
  <w:style w:type="paragraph" w:styleId="Heading1">
    <w:name w:val="heading 1"/>
    <w:aliases w:val="DEAP Heading 1"/>
    <w:next w:val="Normal"/>
    <w:qFormat/>
    <w:rsid w:val="00A44DDD"/>
    <w:pPr>
      <w:keepNext/>
      <w:outlineLvl w:val="0"/>
    </w:pPr>
    <w:rPr>
      <w:rFonts w:ascii="Calibri" w:eastAsia="Times" w:hAnsi="Calibri"/>
      <w:b/>
      <w:smallCaps/>
      <w:color w:val="6786B9"/>
      <w:sz w:val="40"/>
      <w:lang w:eastAsia="ko-KR"/>
    </w:rPr>
  </w:style>
  <w:style w:type="paragraph" w:styleId="Heading2">
    <w:name w:val="heading 2"/>
    <w:aliases w:val="DEAP Heading 2"/>
    <w:basedOn w:val="Normal"/>
    <w:next w:val="Normal"/>
    <w:qFormat/>
    <w:rsid w:val="00663152"/>
    <w:pPr>
      <w:outlineLvl w:val="1"/>
    </w:pPr>
    <w:rPr>
      <w:rFonts w:ascii="Calibri" w:eastAsia="Times New Roman" w:hAnsi="Calibri" w:cs="Calibri"/>
      <w:b/>
      <w:bCs/>
      <w:smallCaps/>
      <w:color w:val="6786B9"/>
      <w:sz w:val="32"/>
      <w:szCs w:val="32"/>
      <w:lang w:eastAsia="en-US"/>
    </w:rPr>
  </w:style>
  <w:style w:type="paragraph" w:styleId="Heading3">
    <w:name w:val="heading 3"/>
    <w:aliases w:val="DEAP Heading 3"/>
    <w:basedOn w:val="Normal"/>
    <w:next w:val="Normal"/>
    <w:qFormat/>
    <w:rsid w:val="00A44DDD"/>
    <w:pPr>
      <w:keepNext/>
      <w:spacing w:before="120" w:after="60"/>
      <w:outlineLvl w:val="2"/>
    </w:pPr>
    <w:rPr>
      <w:b/>
      <w:color w:val="6786B9"/>
      <w:sz w:val="22"/>
    </w:rPr>
  </w:style>
  <w:style w:type="paragraph" w:styleId="Heading4">
    <w:name w:val="heading 4"/>
    <w:aliases w:val="DEAP Heading 4"/>
    <w:next w:val="Normal"/>
    <w:qFormat/>
    <w:rsid w:val="00A44DDD"/>
    <w:pPr>
      <w:keepNext/>
      <w:spacing w:before="120"/>
      <w:outlineLvl w:val="3"/>
    </w:pPr>
    <w:rPr>
      <w:rFonts w:asciiTheme="minorHAnsi" w:eastAsia="Times" w:hAnsiTheme="minorHAnsi"/>
      <w:b/>
      <w:i/>
      <w:color w:val="890415"/>
      <w:lang w:eastAsia="ko-KR"/>
    </w:rPr>
  </w:style>
  <w:style w:type="paragraph" w:styleId="Heading5">
    <w:name w:val="heading 5"/>
    <w:aliases w:val="DEAP Heading 5"/>
    <w:basedOn w:val="Heading4"/>
    <w:next w:val="Normal"/>
    <w:qFormat/>
    <w:rsid w:val="00AC013D"/>
    <w:pPr>
      <w:outlineLvl w:val="4"/>
    </w:pPr>
    <w:rPr>
      <w:rFonts w:ascii="Arial" w:hAnsi="Arial"/>
      <w:b w:val="0"/>
      <w:sz w:val="22"/>
      <w:u w:val="single"/>
    </w:rPr>
  </w:style>
  <w:style w:type="paragraph" w:styleId="Heading6">
    <w:name w:val="heading 6"/>
    <w:aliases w:val="DEAP Heading 6"/>
    <w:basedOn w:val="Heading5"/>
    <w:next w:val="Normal"/>
    <w:qFormat/>
    <w:rsid w:val="00AC013D"/>
    <w:pPr>
      <w:spacing w:before="40" w:after="40"/>
      <w:outlineLvl w:val="5"/>
    </w:pPr>
    <w:rPr>
      <w:b/>
      <w:i w:val="0"/>
    </w:rPr>
  </w:style>
  <w:style w:type="paragraph" w:styleId="Heading7">
    <w:name w:val="heading 7"/>
    <w:basedOn w:val="Normal"/>
    <w:next w:val="Normal"/>
    <w:qFormat/>
    <w:rsid w:val="00AC013D"/>
    <w:pPr>
      <w:keepNext/>
      <w:outlineLvl w:val="6"/>
    </w:pPr>
    <w:rPr>
      <w:rFonts w:ascii="Arial" w:eastAsia="Arial Unicode MS" w:hAnsi="Arial"/>
      <w:b/>
      <w:sz w:val="16"/>
    </w:rPr>
  </w:style>
  <w:style w:type="paragraph" w:styleId="Heading8">
    <w:name w:val="heading 8"/>
    <w:basedOn w:val="Normal"/>
    <w:next w:val="Normal"/>
    <w:qFormat/>
    <w:rsid w:val="00AC013D"/>
    <w:pPr>
      <w:keepNext/>
      <w:outlineLvl w:val="7"/>
    </w:pPr>
    <w:rPr>
      <w:b/>
    </w:rPr>
  </w:style>
  <w:style w:type="paragraph" w:styleId="Heading9">
    <w:name w:val="heading 9"/>
    <w:basedOn w:val="Normal"/>
    <w:next w:val="Normal"/>
    <w:qFormat/>
    <w:rsid w:val="00AC013D"/>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APTableHeading">
    <w:name w:val="DEAP Table Heading"/>
    <w:basedOn w:val="DEAPReferences"/>
    <w:qFormat/>
    <w:rsid w:val="00DB17D4"/>
    <w:pPr>
      <w:jc w:val="center"/>
    </w:pPr>
    <w:rPr>
      <w:b/>
      <w:color w:val="FFFFFF" w:themeColor="background1"/>
      <w:sz w:val="20"/>
    </w:rPr>
  </w:style>
  <w:style w:type="paragraph" w:customStyle="1" w:styleId="DEAPTableText">
    <w:name w:val="DEAP Table Text"/>
    <w:basedOn w:val="DEAPReferences"/>
    <w:qFormat/>
    <w:rsid w:val="00DB17D4"/>
    <w:rPr>
      <w:sz w:val="20"/>
    </w:rPr>
  </w:style>
  <w:style w:type="paragraph" w:styleId="Caption">
    <w:name w:val="caption"/>
    <w:aliases w:val="DEAP Caption"/>
    <w:basedOn w:val="Normal"/>
    <w:next w:val="Normal"/>
    <w:qFormat/>
    <w:rsid w:val="00AC013D"/>
    <w:pPr>
      <w:spacing w:before="40" w:after="40"/>
      <w:jc w:val="center"/>
    </w:pPr>
    <w:rPr>
      <w:b/>
    </w:rPr>
  </w:style>
  <w:style w:type="paragraph" w:customStyle="1" w:styleId="StandardDEAPBIGHeader">
    <w:name w:val="Standard DEAP BIG Header"/>
    <w:basedOn w:val="Heading1"/>
    <w:rsid w:val="00583D07"/>
    <w:pPr>
      <w:jc w:val="center"/>
    </w:pPr>
    <w:rPr>
      <w:caps/>
      <w:smallCaps w:val="0"/>
    </w:rPr>
  </w:style>
  <w:style w:type="paragraph" w:styleId="TOC2">
    <w:name w:val="toc 2"/>
    <w:basedOn w:val="Normal"/>
    <w:next w:val="Normal"/>
    <w:autoRedefine/>
    <w:semiHidden/>
    <w:rsid w:val="00AC013D"/>
    <w:pPr>
      <w:tabs>
        <w:tab w:val="right" w:leader="dot" w:pos="9350"/>
      </w:tabs>
      <w:spacing w:after="20"/>
      <w:ind w:left="540" w:hanging="338"/>
    </w:pPr>
    <w:rPr>
      <w:rFonts w:ascii="Times" w:hAnsi="Times"/>
      <w:smallCaps/>
      <w:noProof/>
    </w:rPr>
  </w:style>
  <w:style w:type="paragraph" w:styleId="TOC1">
    <w:name w:val="toc 1"/>
    <w:basedOn w:val="Normal"/>
    <w:next w:val="Normal"/>
    <w:semiHidden/>
    <w:rsid w:val="00AC013D"/>
    <w:pPr>
      <w:tabs>
        <w:tab w:val="right" w:leader="dot" w:pos="9360"/>
      </w:tabs>
      <w:spacing w:before="60" w:after="60"/>
      <w:ind w:left="360" w:hanging="360"/>
    </w:pPr>
    <w:rPr>
      <w:rFonts w:ascii="Times" w:hAnsi="Times"/>
      <w:b/>
      <w:smallCaps/>
      <w:noProof/>
    </w:rPr>
  </w:style>
  <w:style w:type="paragraph" w:styleId="TOC3">
    <w:name w:val="toc 3"/>
    <w:basedOn w:val="Normal"/>
    <w:next w:val="Normal"/>
    <w:autoRedefine/>
    <w:semiHidden/>
    <w:rsid w:val="00AC013D"/>
    <w:pPr>
      <w:tabs>
        <w:tab w:val="left" w:pos="990"/>
        <w:tab w:val="right" w:leader="dot" w:pos="9360"/>
      </w:tabs>
      <w:spacing w:after="0"/>
      <w:ind w:left="1080" w:hanging="720"/>
    </w:pPr>
    <w:rPr>
      <w:rFonts w:ascii="Times" w:hAnsi="Times"/>
      <w:noProof/>
    </w:rPr>
  </w:style>
  <w:style w:type="paragraph" w:styleId="TOC4">
    <w:name w:val="toc 4"/>
    <w:basedOn w:val="Normal"/>
    <w:next w:val="Normal"/>
    <w:autoRedefine/>
    <w:semiHidden/>
    <w:rsid w:val="00AC013D"/>
    <w:pPr>
      <w:tabs>
        <w:tab w:val="right" w:leader="dot" w:pos="9360"/>
      </w:tabs>
      <w:spacing w:after="0"/>
      <w:ind w:left="1179" w:hanging="579"/>
    </w:pPr>
    <w:rPr>
      <w:rFonts w:ascii="Times" w:hAnsi="Times"/>
      <w:noProof/>
    </w:rPr>
  </w:style>
  <w:style w:type="paragraph" w:styleId="TOC5">
    <w:name w:val="toc 5"/>
    <w:basedOn w:val="Normal"/>
    <w:next w:val="Normal"/>
    <w:autoRedefine/>
    <w:semiHidden/>
    <w:rsid w:val="00AC013D"/>
    <w:pPr>
      <w:tabs>
        <w:tab w:val="right" w:leader="dot" w:pos="9360"/>
      </w:tabs>
      <w:spacing w:after="0"/>
      <w:ind w:left="800"/>
    </w:pPr>
    <w:rPr>
      <w:rFonts w:ascii="Times" w:hAnsi="Times"/>
      <w:noProof/>
    </w:rPr>
  </w:style>
  <w:style w:type="paragraph" w:styleId="TOC6">
    <w:name w:val="toc 6"/>
    <w:basedOn w:val="Normal"/>
    <w:next w:val="Normal"/>
    <w:autoRedefine/>
    <w:semiHidden/>
    <w:rsid w:val="00AC013D"/>
    <w:pPr>
      <w:tabs>
        <w:tab w:val="right" w:leader="dot" w:pos="9360"/>
      </w:tabs>
      <w:spacing w:after="0"/>
      <w:ind w:left="1000"/>
    </w:pPr>
    <w:rPr>
      <w:rFonts w:ascii="Times" w:hAnsi="Times"/>
      <w:noProof/>
    </w:rPr>
  </w:style>
  <w:style w:type="paragraph" w:styleId="TOC7">
    <w:name w:val="toc 7"/>
    <w:basedOn w:val="Normal"/>
    <w:next w:val="Normal"/>
    <w:autoRedefine/>
    <w:semiHidden/>
    <w:rsid w:val="00AC013D"/>
    <w:pPr>
      <w:spacing w:after="0"/>
      <w:ind w:left="1200"/>
    </w:pPr>
    <w:rPr>
      <w:rFonts w:ascii="Times" w:hAnsi="Times"/>
      <w:sz w:val="18"/>
    </w:rPr>
  </w:style>
  <w:style w:type="paragraph" w:styleId="TOC8">
    <w:name w:val="toc 8"/>
    <w:basedOn w:val="Normal"/>
    <w:next w:val="Normal"/>
    <w:autoRedefine/>
    <w:semiHidden/>
    <w:rsid w:val="00AC013D"/>
    <w:pPr>
      <w:spacing w:after="0"/>
      <w:ind w:left="1400"/>
    </w:pPr>
    <w:rPr>
      <w:rFonts w:ascii="Times" w:hAnsi="Times"/>
      <w:sz w:val="18"/>
    </w:rPr>
  </w:style>
  <w:style w:type="paragraph" w:styleId="TOC9">
    <w:name w:val="toc 9"/>
    <w:basedOn w:val="Normal"/>
    <w:next w:val="Normal"/>
    <w:autoRedefine/>
    <w:semiHidden/>
    <w:rsid w:val="00AC013D"/>
    <w:pPr>
      <w:spacing w:after="0"/>
      <w:ind w:left="1600"/>
    </w:pPr>
    <w:rPr>
      <w:rFonts w:ascii="Times" w:hAnsi="Times"/>
      <w:sz w:val="18"/>
    </w:rPr>
  </w:style>
  <w:style w:type="paragraph" w:styleId="TableofFigures">
    <w:name w:val="table of figures"/>
    <w:basedOn w:val="Normal"/>
    <w:next w:val="Normal"/>
    <w:uiPriority w:val="99"/>
    <w:rsid w:val="00AC013D"/>
    <w:pPr>
      <w:ind w:left="480" w:hanging="480"/>
    </w:pPr>
  </w:style>
  <w:style w:type="paragraph" w:customStyle="1" w:styleId="DEAPBullet">
    <w:name w:val="DEAP Bullet"/>
    <w:basedOn w:val="Normal"/>
    <w:rsid w:val="00A44DDD"/>
    <w:pPr>
      <w:numPr>
        <w:numId w:val="2"/>
      </w:numPr>
      <w:contextualSpacing/>
    </w:pPr>
  </w:style>
  <w:style w:type="paragraph" w:styleId="BalloonText">
    <w:name w:val="Balloon Text"/>
    <w:basedOn w:val="Normal"/>
    <w:link w:val="BalloonTextChar"/>
    <w:uiPriority w:val="99"/>
    <w:semiHidden/>
    <w:unhideWhenUsed/>
    <w:rsid w:val="0090697B"/>
    <w:pPr>
      <w:spacing w:after="0"/>
    </w:pPr>
    <w:rPr>
      <w:rFonts w:ascii="Lucida Grande" w:hAnsi="Lucida Grande"/>
      <w:sz w:val="18"/>
      <w:szCs w:val="18"/>
    </w:rPr>
  </w:style>
  <w:style w:type="character" w:customStyle="1" w:styleId="BalloonTextChar">
    <w:name w:val="Balloon Text Char"/>
    <w:link w:val="BalloonText"/>
    <w:uiPriority w:val="99"/>
    <w:semiHidden/>
    <w:rsid w:val="0090697B"/>
    <w:rPr>
      <w:rFonts w:ascii="Lucida Grande" w:eastAsia="Times" w:hAnsi="Lucida Grande"/>
      <w:sz w:val="18"/>
      <w:szCs w:val="18"/>
      <w:lang w:eastAsia="ko-KR"/>
    </w:rPr>
  </w:style>
  <w:style w:type="table" w:customStyle="1" w:styleId="StandardDEAPTable">
    <w:name w:val="Standard DEAP Table"/>
    <w:basedOn w:val="TableNormal"/>
    <w:uiPriority w:val="99"/>
    <w:rsid w:val="00DB17D4"/>
    <w:rPr>
      <w:rFonts w:ascii="Calibri" w:hAnsi="Calibri"/>
    </w:rPr>
    <w:tblPr>
      <w:tblStyleRow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jc w:val="center"/>
    </w:trPr>
    <w:tblStylePr w:type="firstRow">
      <w:pPr>
        <w:jc w:val="left"/>
      </w:pPr>
      <w:rPr>
        <w:color w:val="FFFFFF" w:themeColor="background1"/>
      </w:rPr>
      <w:tblPr/>
      <w:tcPr>
        <w:shd w:val="clear" w:color="auto" w:fill="6786B9"/>
      </w:tcPr>
    </w:tblStylePr>
    <w:tblStylePr w:type="band1Horz">
      <w:tblPr/>
      <w:tcPr>
        <w:shd w:val="clear" w:color="auto" w:fill="D2D9E5"/>
      </w:tcPr>
    </w:tblStylePr>
  </w:style>
  <w:style w:type="table" w:styleId="TableGrid">
    <w:name w:val="Table Grid"/>
    <w:basedOn w:val="TableNormal"/>
    <w:uiPriority w:val="39"/>
    <w:rsid w:val="00123F0E"/>
    <w:rPr>
      <w:rFonts w:asciiTheme="minorHAnsi" w:eastAsiaTheme="minorEastAsia" w:hAnsiTheme="minorHAnsi" w:cstheme="minorBidi"/>
      <w:color w:val="0D0D0D" w:themeColor="text1" w:themeTint="F2"/>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3F0E"/>
    <w:pPr>
      <w:spacing w:after="160" w:line="259" w:lineRule="auto"/>
      <w:ind w:left="720"/>
      <w:contextualSpacing/>
    </w:pPr>
    <w:rPr>
      <w:rFonts w:eastAsiaTheme="minorHAnsi" w:cstheme="minorBidi"/>
      <w:sz w:val="22"/>
      <w:szCs w:val="22"/>
      <w:lang w:eastAsia="en-US"/>
    </w:rPr>
  </w:style>
  <w:style w:type="paragraph" w:customStyle="1" w:styleId="DEAPReferences">
    <w:name w:val="DEAP References"/>
    <w:basedOn w:val="Normal"/>
    <w:qFormat/>
    <w:rsid w:val="005371FD"/>
    <w:pPr>
      <w:spacing w:after="60"/>
    </w:pPr>
    <w:rPr>
      <w:sz w:val="16"/>
      <w:szCs w:val="16"/>
    </w:rPr>
  </w:style>
  <w:style w:type="paragraph" w:styleId="Header">
    <w:name w:val="header"/>
    <w:basedOn w:val="Normal"/>
    <w:link w:val="HeaderChar"/>
    <w:uiPriority w:val="99"/>
    <w:unhideWhenUsed/>
    <w:rsid w:val="003E2B11"/>
    <w:pPr>
      <w:tabs>
        <w:tab w:val="center" w:pos="4680"/>
        <w:tab w:val="right" w:pos="9360"/>
      </w:tabs>
      <w:spacing w:after="0"/>
    </w:pPr>
  </w:style>
  <w:style w:type="character" w:customStyle="1" w:styleId="HeaderChar">
    <w:name w:val="Header Char"/>
    <w:basedOn w:val="DefaultParagraphFont"/>
    <w:link w:val="Header"/>
    <w:uiPriority w:val="99"/>
    <w:rsid w:val="003E2B11"/>
    <w:rPr>
      <w:rFonts w:asciiTheme="minorHAnsi" w:eastAsia="Times" w:hAnsiTheme="minorHAnsi"/>
      <w:lang w:eastAsia="ko-KR"/>
    </w:rPr>
  </w:style>
  <w:style w:type="paragraph" w:styleId="Footer">
    <w:name w:val="footer"/>
    <w:basedOn w:val="Normal"/>
    <w:link w:val="FooterChar"/>
    <w:uiPriority w:val="99"/>
    <w:unhideWhenUsed/>
    <w:rsid w:val="003E2B11"/>
    <w:pPr>
      <w:tabs>
        <w:tab w:val="center" w:pos="4680"/>
        <w:tab w:val="right" w:pos="9360"/>
      </w:tabs>
      <w:spacing w:after="0"/>
    </w:pPr>
  </w:style>
  <w:style w:type="character" w:customStyle="1" w:styleId="FooterChar">
    <w:name w:val="Footer Char"/>
    <w:basedOn w:val="DefaultParagraphFont"/>
    <w:link w:val="Footer"/>
    <w:uiPriority w:val="99"/>
    <w:rsid w:val="003E2B11"/>
    <w:rPr>
      <w:rFonts w:asciiTheme="minorHAnsi" w:eastAsia="Times" w:hAnsiTheme="minorHAnsi"/>
      <w:lang w:eastAsia="ko-KR"/>
    </w:rPr>
  </w:style>
  <w:style w:type="paragraph" w:customStyle="1" w:styleId="DEAPDefinition">
    <w:name w:val="DEAP Definition"/>
    <w:basedOn w:val="Heading3"/>
    <w:qFormat/>
    <w:rsid w:val="00A44DDD"/>
    <w:rPr>
      <w:i/>
      <w:color w:val="890415"/>
    </w:rPr>
  </w:style>
  <w:style w:type="character" w:customStyle="1" w:styleId="DEAPAccentColorCharacterStyle">
    <w:name w:val="DEAP Accent Color Character Style"/>
    <w:basedOn w:val="DefaultParagraphFont"/>
    <w:uiPriority w:val="1"/>
    <w:qFormat/>
    <w:rsid w:val="00A44DDD"/>
    <w:rPr>
      <w:rFonts w:cstheme="minorBidi"/>
      <w:b/>
      <w:bCs/>
      <w:color w:val="6786B9"/>
      <w:sz w:val="20"/>
    </w:rPr>
  </w:style>
  <w:style w:type="numbering" w:customStyle="1" w:styleId="CurrentList1">
    <w:name w:val="Current List1"/>
    <w:uiPriority w:val="99"/>
    <w:rsid w:val="00A44DDD"/>
    <w:pPr>
      <w:numPr>
        <w:numId w:val="8"/>
      </w:numPr>
    </w:pPr>
  </w:style>
  <w:style w:type="paragraph" w:customStyle="1" w:styleId="DEAPLearningSettingBullet">
    <w:name w:val="DEAP Learning Setting Bullet"/>
    <w:basedOn w:val="DEAPBullet"/>
    <w:qFormat/>
    <w:rsid w:val="00D203D0"/>
    <w:pPr>
      <w:numPr>
        <w:numId w:val="10"/>
      </w:numPr>
      <w:tabs>
        <w:tab w:val="left" w:pos="216"/>
      </w:tabs>
      <w:spacing w:after="40" w:line="220" w:lineRule="exact"/>
      <w:ind w:left="216" w:hanging="216"/>
    </w:pPr>
    <w:rPr>
      <w:lang w:val="en"/>
    </w:rPr>
  </w:style>
  <w:style w:type="numbering" w:customStyle="1" w:styleId="CurrentList2">
    <w:name w:val="Current List2"/>
    <w:uiPriority w:val="99"/>
    <w:rsid w:val="00D203D0"/>
    <w:pPr>
      <w:numPr>
        <w:numId w:val="9"/>
      </w:numPr>
    </w:pPr>
  </w:style>
  <w:style w:type="table" w:styleId="PlainTable4">
    <w:name w:val="Plain Table 4"/>
    <w:basedOn w:val="TableNormal"/>
    <w:uiPriority w:val="99"/>
    <w:rsid w:val="005B4CA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99"/>
    <w:rsid w:val="005B4CA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45/3568813.3600118"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shb\Downloads\DEAP-Templatev2.dotx" TargetMode="External"/></Relationships>
</file>

<file path=word/theme/theme1.xml><?xml version="1.0" encoding="utf-8"?>
<a:theme xmlns:a="http://schemas.openxmlformats.org/drawingml/2006/main" name="Office Theme">
  <a:themeElements>
    <a:clrScheme name="DEAP">
      <a:dk1>
        <a:srgbClr val="000000"/>
      </a:dk1>
      <a:lt1>
        <a:srgbClr val="FFFFFF"/>
      </a:lt1>
      <a:dk2>
        <a:srgbClr val="44546A"/>
      </a:dk2>
      <a:lt2>
        <a:srgbClr val="E7E6E6"/>
      </a:lt2>
      <a:accent1>
        <a:srgbClr val="6786C4"/>
      </a:accent1>
      <a:accent2>
        <a:srgbClr val="EE1F26"/>
      </a:accent2>
      <a:accent3>
        <a:srgbClr val="B1B1B1"/>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95266-3D9B-4345-A5FC-485B3220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DEAP-Templatev2</Template>
  <TotalTime>6</TotalTime>
  <Pages>2</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Links>
    <vt:vector size="24" baseType="variant">
      <vt:variant>
        <vt:i4>3145784</vt:i4>
      </vt:variant>
      <vt:variant>
        <vt:i4>9463</vt:i4>
      </vt:variant>
      <vt:variant>
        <vt:i4>1025</vt:i4>
      </vt:variant>
      <vt:variant>
        <vt:i4>1</vt:i4>
      </vt:variant>
      <vt:variant>
        <vt:lpwstr>Balls_1column</vt:lpwstr>
      </vt:variant>
      <vt:variant>
        <vt:lpwstr/>
      </vt:variant>
      <vt:variant>
        <vt:i4>4063295</vt:i4>
      </vt:variant>
      <vt:variant>
        <vt:i4>10717</vt:i4>
      </vt:variant>
      <vt:variant>
        <vt:i4>1026</vt:i4>
      </vt:variant>
      <vt:variant>
        <vt:i4>1</vt:i4>
      </vt:variant>
      <vt:variant>
        <vt:lpwstr>SlipperyWorld_2column</vt:lpwstr>
      </vt:variant>
      <vt:variant>
        <vt:lpwstr/>
      </vt:variant>
      <vt:variant>
        <vt:i4>4063295</vt:i4>
      </vt:variant>
      <vt:variant>
        <vt:i4>14042</vt:i4>
      </vt:variant>
      <vt:variant>
        <vt:i4>1028</vt:i4>
      </vt:variant>
      <vt:variant>
        <vt:i4>1</vt:i4>
      </vt:variant>
      <vt:variant>
        <vt:lpwstr>SlipperyWorld_2column</vt:lpwstr>
      </vt:variant>
      <vt:variant>
        <vt:lpwstr/>
      </vt:variant>
      <vt:variant>
        <vt:i4>3145784</vt:i4>
      </vt:variant>
      <vt:variant>
        <vt:i4>16225</vt:i4>
      </vt:variant>
      <vt:variant>
        <vt:i4>1027</vt:i4>
      </vt:variant>
      <vt:variant>
        <vt:i4>1</vt:i4>
      </vt:variant>
      <vt:variant>
        <vt:lpwstr>Balls_1column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Iryna Ashby</dc:creator>
  <cp:lastModifiedBy>Iryna Ashby</cp:lastModifiedBy>
  <cp:revision>4</cp:revision>
  <dcterms:created xsi:type="dcterms:W3CDTF">2026-05-27T18:09:00Z</dcterms:created>
  <dcterms:modified xsi:type="dcterms:W3CDTF">2026-06-26T14:21:00Z</dcterms:modified>
</cp:coreProperties>
</file>